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3ABBC" w14:textId="22B810F8" w:rsidR="008662AD" w:rsidRPr="00961040" w:rsidRDefault="009E04A0" w:rsidP="00076E3D">
      <w:pPr>
        <w:pStyle w:val="Heading1"/>
        <w:rPr>
          <w:rFonts w:asciiTheme="minorHAnsi" w:hAnsiTheme="minorHAnsi"/>
          <w:b w:val="0"/>
          <w:color w:val="08BCC1" w:themeColor="accent1"/>
          <w:lang w:val="en-GB"/>
        </w:rPr>
      </w:pPr>
      <w:r w:rsidRPr="00961040">
        <w:rPr>
          <w:rFonts w:asciiTheme="minorHAnsi" w:hAnsiTheme="minorHAnsi"/>
          <w:b w:val="0"/>
          <w:color w:val="08BCC1" w:themeColor="accent1"/>
          <w:lang w:val="en-GB"/>
        </w:rPr>
        <w:t>Tool 2</w:t>
      </w:r>
      <w:r w:rsidR="008662AD" w:rsidRPr="00961040">
        <w:rPr>
          <w:rFonts w:asciiTheme="minorHAnsi" w:hAnsiTheme="minorHAnsi"/>
          <w:b w:val="0"/>
          <w:color w:val="08BCC1" w:themeColor="accent1"/>
          <w:lang w:val="en-GB"/>
        </w:rPr>
        <w:t xml:space="preserve">: </w:t>
      </w:r>
      <w:r w:rsidR="007F5388" w:rsidRPr="00961040">
        <w:rPr>
          <w:rFonts w:asciiTheme="minorHAnsi" w:hAnsiTheme="minorHAnsi"/>
          <w:b w:val="0"/>
          <w:color w:val="08BCC1" w:themeColor="accent1"/>
          <w:lang w:val="en-GB"/>
        </w:rPr>
        <w:t xml:space="preserve">Desk </w:t>
      </w:r>
      <w:r w:rsidR="00E34DD7" w:rsidRPr="00961040">
        <w:rPr>
          <w:rFonts w:asciiTheme="minorHAnsi" w:hAnsiTheme="minorHAnsi"/>
          <w:b w:val="0"/>
          <w:color w:val="08BCC1" w:themeColor="accent1"/>
          <w:lang w:val="en-GB"/>
        </w:rPr>
        <w:t>review summary</w:t>
      </w:r>
    </w:p>
    <w:p w14:paraId="2336F293" w14:textId="05295F12" w:rsidR="008662AD" w:rsidRPr="00076E3D" w:rsidRDefault="008662AD" w:rsidP="00FF4D3D">
      <w:pPr>
        <w:spacing w:after="0" w:line="240" w:lineRule="auto"/>
        <w:rPr>
          <w:rFonts w:ascii="Calibri" w:hAnsi="Calibri"/>
          <w:color w:val="543F95"/>
          <w:sz w:val="26"/>
          <w:szCs w:val="26"/>
          <w:lang w:val="en-GB"/>
        </w:rPr>
      </w:pPr>
    </w:p>
    <w:p w14:paraId="25C418C7" w14:textId="07458C7A" w:rsidR="00BA691E" w:rsidRPr="00810B50" w:rsidRDefault="007D3468" w:rsidP="00937496">
      <w:pPr>
        <w:spacing w:after="0" w:line="240" w:lineRule="auto"/>
        <w:jc w:val="both"/>
        <w:rPr>
          <w:rFonts w:ascii="Calibri" w:hAnsi="Calibri"/>
          <w:lang w:val="en-GB"/>
        </w:rPr>
      </w:pPr>
      <w:r w:rsidRPr="00810B50">
        <w:rPr>
          <w:rFonts w:ascii="Calibri" w:hAnsi="Calibri"/>
          <w:lang w:val="en-GB"/>
        </w:rPr>
        <w:t>The table on the following pages is a tool to help guide reading and research for the context analysis and to help document findings</w:t>
      </w:r>
      <w:r w:rsidR="003D0216">
        <w:rPr>
          <w:rFonts w:ascii="Calibri" w:hAnsi="Calibri"/>
          <w:lang w:val="en-GB"/>
        </w:rPr>
        <w:t xml:space="preserve">. This can </w:t>
      </w:r>
      <w:r w:rsidR="00937496" w:rsidRPr="00810B50">
        <w:rPr>
          <w:rFonts w:ascii="Calibri" w:hAnsi="Calibri"/>
          <w:lang w:val="en-GB"/>
        </w:rPr>
        <w:t>be modified for the given context</w:t>
      </w:r>
      <w:r w:rsidRPr="00810B50">
        <w:rPr>
          <w:rFonts w:ascii="Calibri" w:hAnsi="Calibri"/>
          <w:lang w:val="en-GB"/>
        </w:rPr>
        <w:t>.  A similar v</w:t>
      </w:r>
      <w:r w:rsidR="00FA7686" w:rsidRPr="00810B50">
        <w:rPr>
          <w:rFonts w:ascii="Calibri" w:hAnsi="Calibri"/>
          <w:lang w:val="en-GB"/>
        </w:rPr>
        <w:t xml:space="preserve">ersion of this table will appear in other tools </w:t>
      </w:r>
      <w:r w:rsidR="004C1DC8" w:rsidRPr="00810B50">
        <w:rPr>
          <w:rFonts w:ascii="Calibri" w:hAnsi="Calibri"/>
          <w:lang w:val="en-GB"/>
        </w:rPr>
        <w:t>throughout</w:t>
      </w:r>
      <w:r w:rsidR="00FA7686" w:rsidRPr="00810B50">
        <w:rPr>
          <w:rFonts w:ascii="Calibri" w:hAnsi="Calibri"/>
          <w:lang w:val="en-GB"/>
        </w:rPr>
        <w:t xml:space="preserve"> the process, such as data collection planning and analysis.  </w:t>
      </w:r>
      <w:r w:rsidR="00BA691E" w:rsidRPr="00810B50">
        <w:rPr>
          <w:rFonts w:ascii="Calibri" w:hAnsi="Calibri"/>
          <w:lang w:val="en-GB"/>
        </w:rPr>
        <w:t xml:space="preserve">It is important to conduct at least a brief </w:t>
      </w:r>
      <w:r w:rsidR="003D0216">
        <w:rPr>
          <w:rFonts w:ascii="Calibri" w:hAnsi="Calibri"/>
          <w:lang w:val="en-GB"/>
        </w:rPr>
        <w:t xml:space="preserve">desk </w:t>
      </w:r>
      <w:r w:rsidR="00BA691E" w:rsidRPr="00810B50">
        <w:rPr>
          <w:rFonts w:ascii="Calibri" w:hAnsi="Calibri"/>
          <w:lang w:val="en-GB"/>
        </w:rPr>
        <w:t>review of existing reports and assessments, as well as government policies and documents, to ena</w:t>
      </w:r>
      <w:r w:rsidR="00107982" w:rsidRPr="00810B50">
        <w:rPr>
          <w:rFonts w:ascii="Calibri" w:hAnsi="Calibri"/>
          <w:lang w:val="en-GB"/>
        </w:rPr>
        <w:t xml:space="preserve">ble the user to </w:t>
      </w:r>
      <w:r w:rsidR="001A5C62" w:rsidRPr="00810B50">
        <w:rPr>
          <w:rFonts w:ascii="Calibri" w:hAnsi="Calibri"/>
          <w:lang w:val="en-GB"/>
        </w:rPr>
        <w:t xml:space="preserve">fully </w:t>
      </w:r>
      <w:r w:rsidR="00107982" w:rsidRPr="00810B50">
        <w:rPr>
          <w:rFonts w:ascii="Calibri" w:hAnsi="Calibri"/>
          <w:lang w:val="en-GB"/>
        </w:rPr>
        <w:t xml:space="preserve">leverage </w:t>
      </w:r>
      <w:r w:rsidR="003D0216">
        <w:rPr>
          <w:rFonts w:ascii="Calibri" w:hAnsi="Calibri"/>
          <w:lang w:val="en-GB"/>
        </w:rPr>
        <w:t xml:space="preserve">key informant </w:t>
      </w:r>
      <w:r w:rsidR="00107982" w:rsidRPr="00810B50">
        <w:rPr>
          <w:rFonts w:ascii="Calibri" w:hAnsi="Calibri"/>
          <w:lang w:val="en-GB"/>
        </w:rPr>
        <w:t>interviews and focus groups at the community level.</w:t>
      </w:r>
    </w:p>
    <w:p w14:paraId="71300D80" w14:textId="77777777" w:rsidR="00BA691E" w:rsidRPr="00810B50" w:rsidRDefault="00BA691E" w:rsidP="00937496">
      <w:pPr>
        <w:spacing w:after="0" w:line="240" w:lineRule="auto"/>
        <w:jc w:val="both"/>
        <w:rPr>
          <w:rFonts w:ascii="Calibri" w:hAnsi="Calibri"/>
          <w:lang w:val="en-GB"/>
        </w:rPr>
      </w:pPr>
    </w:p>
    <w:p w14:paraId="1F30EC64" w14:textId="3565718D" w:rsidR="007D3468" w:rsidRPr="00810B50" w:rsidRDefault="00FA7686" w:rsidP="00937496">
      <w:pPr>
        <w:spacing w:after="0" w:line="240" w:lineRule="auto"/>
        <w:jc w:val="both"/>
        <w:rPr>
          <w:rFonts w:ascii="Calibri" w:hAnsi="Calibri"/>
          <w:color w:val="543F95"/>
          <w:lang w:val="en-GB"/>
        </w:rPr>
      </w:pPr>
      <w:r w:rsidRPr="00810B50">
        <w:rPr>
          <w:rFonts w:ascii="Calibri" w:hAnsi="Calibri"/>
          <w:lang w:val="en-GB"/>
        </w:rPr>
        <w:t xml:space="preserve">This table can be used on its own for internal purposes, or serve as the basis of a more formal memo if the organisation intends to share </w:t>
      </w:r>
      <w:r w:rsidR="00BA691E" w:rsidRPr="00810B50">
        <w:rPr>
          <w:rFonts w:ascii="Calibri" w:hAnsi="Calibri"/>
          <w:lang w:val="en-GB"/>
        </w:rPr>
        <w:t>the findings externally or with a broad internal audience.  The summary table can easily be integrated into a memo with the following potential outline, but a formal memo is not necessary.</w:t>
      </w:r>
    </w:p>
    <w:p w14:paraId="56A6D0A9" w14:textId="658EB4E4" w:rsidR="007D3468" w:rsidRPr="00810B50" w:rsidRDefault="007D3468" w:rsidP="00FF4D3D">
      <w:pPr>
        <w:spacing w:after="0" w:line="240" w:lineRule="auto"/>
        <w:rPr>
          <w:rFonts w:ascii="Calibri" w:hAnsi="Calibri"/>
          <w:color w:val="543F95"/>
          <w:lang w:val="en-GB"/>
        </w:rPr>
      </w:pPr>
    </w:p>
    <w:p w14:paraId="06CBA3AF" w14:textId="58DF71F5" w:rsidR="00937496" w:rsidRPr="00810B50" w:rsidRDefault="00937496" w:rsidP="00937496">
      <w:pPr>
        <w:jc w:val="both"/>
        <w:rPr>
          <w:rFonts w:ascii="Calibri" w:hAnsi="Calibri"/>
          <w:b/>
          <w:lang w:val="en-GB"/>
        </w:rPr>
      </w:pPr>
      <w:r w:rsidRPr="00810B50">
        <w:rPr>
          <w:rFonts w:ascii="Calibri" w:hAnsi="Calibri"/>
          <w:b/>
          <w:lang w:val="en-GB"/>
        </w:rPr>
        <w:t xml:space="preserve">Optional </w:t>
      </w:r>
      <w:r w:rsidR="00E34DD7" w:rsidRPr="00810B50">
        <w:rPr>
          <w:rFonts w:ascii="Calibri" w:hAnsi="Calibri"/>
          <w:b/>
          <w:lang w:val="en-GB"/>
        </w:rPr>
        <w:t>desk review memo outline</w:t>
      </w:r>
    </w:p>
    <w:p w14:paraId="4D53125E" w14:textId="1E13DE9B" w:rsidR="00937496" w:rsidRPr="00810B50" w:rsidRDefault="00937496" w:rsidP="005D2162">
      <w:pPr>
        <w:pStyle w:val="ListParagraph"/>
        <w:numPr>
          <w:ilvl w:val="0"/>
          <w:numId w:val="13"/>
        </w:numPr>
        <w:jc w:val="both"/>
        <w:rPr>
          <w:rFonts w:ascii="Calibri" w:hAnsi="Calibri"/>
          <w:lang w:val="en-GB"/>
        </w:rPr>
      </w:pPr>
      <w:r w:rsidRPr="00810B50">
        <w:rPr>
          <w:rFonts w:ascii="Calibri" w:hAnsi="Calibri"/>
          <w:lang w:val="en-GB"/>
        </w:rPr>
        <w:t>Introduction and background</w:t>
      </w:r>
      <w:r w:rsidR="005D2162" w:rsidRPr="00810B50">
        <w:rPr>
          <w:rFonts w:ascii="Calibri" w:hAnsi="Calibri"/>
          <w:lang w:val="en-GB"/>
        </w:rPr>
        <w:t xml:space="preserve"> (1</w:t>
      </w:r>
      <w:r w:rsidR="00FC1499" w:rsidRPr="00810B50">
        <w:rPr>
          <w:rFonts w:ascii="Calibri" w:hAnsi="Calibri"/>
          <w:lang w:val="en-GB"/>
        </w:rPr>
        <w:t>-</w:t>
      </w:r>
      <w:r w:rsidR="005D2162" w:rsidRPr="00810B50">
        <w:rPr>
          <w:rFonts w:ascii="Calibri" w:hAnsi="Calibri"/>
          <w:lang w:val="en-GB"/>
        </w:rPr>
        <w:t>2 page</w:t>
      </w:r>
      <w:r w:rsidR="00FC1499" w:rsidRPr="00810B50">
        <w:rPr>
          <w:rFonts w:ascii="Calibri" w:hAnsi="Calibri"/>
          <w:lang w:val="en-GB"/>
        </w:rPr>
        <w:t>s</w:t>
      </w:r>
      <w:r w:rsidR="005D2162" w:rsidRPr="00810B50">
        <w:rPr>
          <w:rFonts w:ascii="Calibri" w:hAnsi="Calibri"/>
          <w:lang w:val="en-GB"/>
        </w:rPr>
        <w:t>)</w:t>
      </w:r>
      <w:r w:rsidR="00FC1499" w:rsidRPr="00810B50">
        <w:rPr>
          <w:rFonts w:ascii="Calibri" w:hAnsi="Calibri"/>
          <w:lang w:val="en-GB"/>
        </w:rPr>
        <w:t>:</w:t>
      </w:r>
    </w:p>
    <w:p w14:paraId="06F476EB" w14:textId="48DF6713" w:rsidR="00937496" w:rsidRPr="00810B50" w:rsidRDefault="005D2162" w:rsidP="005D2162">
      <w:pPr>
        <w:pStyle w:val="ListParagraph"/>
        <w:numPr>
          <w:ilvl w:val="1"/>
          <w:numId w:val="13"/>
        </w:numPr>
        <w:jc w:val="both"/>
        <w:rPr>
          <w:rFonts w:ascii="Calibri" w:hAnsi="Calibri"/>
          <w:lang w:val="en-GB"/>
        </w:rPr>
      </w:pPr>
      <w:r w:rsidRPr="00810B50">
        <w:rPr>
          <w:rFonts w:ascii="Calibri" w:hAnsi="Calibri"/>
          <w:lang w:val="en-GB"/>
        </w:rPr>
        <w:t>Purpose, scope, and scale of context analysis</w:t>
      </w:r>
      <w:r w:rsidR="00FC1499" w:rsidRPr="00810B50">
        <w:rPr>
          <w:rFonts w:ascii="Calibri" w:hAnsi="Calibri"/>
          <w:lang w:val="en-GB"/>
        </w:rPr>
        <w:t>.</w:t>
      </w:r>
    </w:p>
    <w:p w14:paraId="6B82D5E2" w14:textId="4AAFB4DE" w:rsidR="00937496" w:rsidRPr="00810B50" w:rsidRDefault="005D2162" w:rsidP="005D2162">
      <w:pPr>
        <w:pStyle w:val="ListParagraph"/>
        <w:numPr>
          <w:ilvl w:val="1"/>
          <w:numId w:val="13"/>
        </w:numPr>
        <w:spacing w:after="120"/>
        <w:rPr>
          <w:rFonts w:ascii="Calibri" w:hAnsi="Calibri"/>
          <w:lang w:val="en-GB"/>
        </w:rPr>
      </w:pPr>
      <w:r w:rsidRPr="00810B50">
        <w:rPr>
          <w:rFonts w:ascii="Calibri" w:hAnsi="Calibri"/>
          <w:lang w:val="en-GB"/>
        </w:rPr>
        <w:t>O</w:t>
      </w:r>
      <w:r w:rsidR="00937496" w:rsidRPr="00810B50">
        <w:rPr>
          <w:rFonts w:ascii="Calibri" w:hAnsi="Calibri"/>
          <w:lang w:val="en-GB"/>
        </w:rPr>
        <w:t xml:space="preserve">verview of priority geographic </w:t>
      </w:r>
      <w:r w:rsidRPr="00810B50">
        <w:rPr>
          <w:rFonts w:ascii="Calibri" w:hAnsi="Calibri"/>
          <w:lang w:val="en-GB"/>
        </w:rPr>
        <w:t>areas for data collection</w:t>
      </w:r>
      <w:r w:rsidR="00937496" w:rsidRPr="00810B50">
        <w:rPr>
          <w:rFonts w:ascii="Calibri" w:hAnsi="Calibri"/>
          <w:lang w:val="en-GB"/>
        </w:rPr>
        <w:t xml:space="preserve"> (if known) and reasons for selection</w:t>
      </w:r>
      <w:r w:rsidR="00FC1499" w:rsidRPr="00810B50">
        <w:rPr>
          <w:rFonts w:ascii="Calibri" w:hAnsi="Calibri"/>
          <w:lang w:val="en-GB"/>
        </w:rPr>
        <w:t>.</w:t>
      </w:r>
    </w:p>
    <w:p w14:paraId="15542801" w14:textId="7B4FA8C3" w:rsidR="00937496" w:rsidRPr="00810B50" w:rsidRDefault="00937496" w:rsidP="005D2162">
      <w:pPr>
        <w:pStyle w:val="ListParagraph"/>
        <w:numPr>
          <w:ilvl w:val="0"/>
          <w:numId w:val="13"/>
        </w:numPr>
        <w:spacing w:after="0"/>
        <w:jc w:val="both"/>
        <w:rPr>
          <w:rFonts w:ascii="Calibri" w:hAnsi="Calibri"/>
          <w:lang w:val="en-GB"/>
        </w:rPr>
      </w:pPr>
      <w:r w:rsidRPr="00810B50">
        <w:rPr>
          <w:rFonts w:ascii="Calibri" w:hAnsi="Calibri"/>
          <w:lang w:val="en-GB"/>
        </w:rPr>
        <w:t>Key findings from desk review by theme and sub-themes</w:t>
      </w:r>
      <w:r w:rsidR="005D2162" w:rsidRPr="00810B50">
        <w:rPr>
          <w:rFonts w:ascii="Calibri" w:hAnsi="Calibri"/>
          <w:lang w:val="en-GB"/>
        </w:rPr>
        <w:t xml:space="preserve"> (2-3 p</w:t>
      </w:r>
      <w:r w:rsidR="00E34DD7" w:rsidRPr="00810B50">
        <w:rPr>
          <w:rFonts w:ascii="Calibri" w:hAnsi="Calibri"/>
          <w:lang w:val="en-GB"/>
        </w:rPr>
        <w:t>ages</w:t>
      </w:r>
      <w:r w:rsidR="005D2162" w:rsidRPr="00810B50">
        <w:rPr>
          <w:rFonts w:ascii="Calibri" w:hAnsi="Calibri"/>
          <w:lang w:val="en-GB"/>
        </w:rPr>
        <w:t>)</w:t>
      </w:r>
      <w:r w:rsidR="00FC1499" w:rsidRPr="00810B50">
        <w:rPr>
          <w:rFonts w:ascii="Calibri" w:hAnsi="Calibri"/>
          <w:lang w:val="en-GB"/>
        </w:rPr>
        <w:t>:</w:t>
      </w:r>
    </w:p>
    <w:p w14:paraId="65DBF910" w14:textId="77777777" w:rsidR="00937496" w:rsidRPr="00810B50" w:rsidRDefault="00937496" w:rsidP="005D2162">
      <w:pPr>
        <w:pStyle w:val="ListParagraph"/>
        <w:numPr>
          <w:ilvl w:val="1"/>
          <w:numId w:val="13"/>
        </w:numPr>
        <w:jc w:val="both"/>
        <w:rPr>
          <w:rFonts w:ascii="Calibri" w:hAnsi="Calibri"/>
          <w:lang w:val="en-GB"/>
        </w:rPr>
      </w:pPr>
      <w:r w:rsidRPr="00810B50">
        <w:rPr>
          <w:rFonts w:ascii="Calibri" w:eastAsia="Times New Roman" w:hAnsi="Calibri" w:cs="Calibri"/>
          <w:iCs/>
          <w:lang w:val="en-GB"/>
        </w:rPr>
        <w:t>For each relevant sub-theme, provide a summary narrative description of the findings from the desk review, incorporating data in tables, charts, or other forms as appropriate. It is understood that not all information will be available.</w:t>
      </w:r>
    </w:p>
    <w:p w14:paraId="42EEBB9F" w14:textId="3A0A337B" w:rsidR="00937496" w:rsidRPr="00810B50" w:rsidRDefault="00937496" w:rsidP="005D2162">
      <w:pPr>
        <w:pStyle w:val="ListParagraph"/>
        <w:numPr>
          <w:ilvl w:val="0"/>
          <w:numId w:val="13"/>
        </w:numPr>
        <w:jc w:val="both"/>
        <w:rPr>
          <w:rFonts w:ascii="Calibri" w:hAnsi="Calibri"/>
          <w:lang w:val="en-GB"/>
        </w:rPr>
      </w:pPr>
      <w:r w:rsidRPr="00810B50">
        <w:rPr>
          <w:rFonts w:ascii="Calibri" w:hAnsi="Calibri"/>
          <w:lang w:val="en-GB"/>
        </w:rPr>
        <w:t>Conclusion</w:t>
      </w:r>
      <w:r w:rsidR="005D2162" w:rsidRPr="00810B50">
        <w:rPr>
          <w:rFonts w:ascii="Calibri" w:hAnsi="Calibri"/>
          <w:lang w:val="en-GB"/>
        </w:rPr>
        <w:t xml:space="preserve"> (1 p</w:t>
      </w:r>
      <w:r w:rsidR="00E34DD7" w:rsidRPr="00810B50">
        <w:rPr>
          <w:rFonts w:ascii="Calibri" w:hAnsi="Calibri"/>
          <w:lang w:val="en-GB"/>
        </w:rPr>
        <w:t>a</w:t>
      </w:r>
      <w:r w:rsidR="005D2162" w:rsidRPr="00810B50">
        <w:rPr>
          <w:rFonts w:ascii="Calibri" w:hAnsi="Calibri"/>
          <w:lang w:val="en-GB"/>
        </w:rPr>
        <w:t>g</w:t>
      </w:r>
      <w:r w:rsidR="00E34DD7" w:rsidRPr="00810B50">
        <w:rPr>
          <w:rFonts w:ascii="Calibri" w:hAnsi="Calibri"/>
          <w:lang w:val="en-GB"/>
        </w:rPr>
        <w:t>e</w:t>
      </w:r>
      <w:r w:rsidR="005D2162" w:rsidRPr="00810B50">
        <w:rPr>
          <w:rFonts w:ascii="Calibri" w:hAnsi="Calibri"/>
          <w:lang w:val="en-GB"/>
        </w:rPr>
        <w:t>)</w:t>
      </w:r>
      <w:r w:rsidR="00FC1499" w:rsidRPr="00810B50">
        <w:rPr>
          <w:rFonts w:ascii="Calibri" w:hAnsi="Calibri"/>
          <w:lang w:val="en-GB"/>
        </w:rPr>
        <w:t>:</w:t>
      </w:r>
    </w:p>
    <w:p w14:paraId="5BA09050" w14:textId="2CD6F3A6" w:rsidR="00937496" w:rsidRPr="00810B50" w:rsidRDefault="00937496" w:rsidP="005D2162">
      <w:pPr>
        <w:pStyle w:val="ListParagraph"/>
        <w:numPr>
          <w:ilvl w:val="1"/>
          <w:numId w:val="13"/>
        </w:numPr>
        <w:jc w:val="both"/>
        <w:rPr>
          <w:rFonts w:ascii="Calibri" w:hAnsi="Calibri"/>
          <w:lang w:val="en-GB"/>
        </w:rPr>
      </w:pPr>
      <w:r w:rsidRPr="00810B50">
        <w:rPr>
          <w:rFonts w:ascii="Calibri" w:hAnsi="Calibri"/>
          <w:lang w:val="en-GB"/>
        </w:rPr>
        <w:t>Summary of key findings</w:t>
      </w:r>
      <w:r w:rsidR="005D2162" w:rsidRPr="00810B50">
        <w:rPr>
          <w:rFonts w:ascii="Calibri" w:hAnsi="Calibri"/>
          <w:lang w:val="en-GB"/>
        </w:rPr>
        <w:t xml:space="preserve"> and gaps</w:t>
      </w:r>
      <w:r w:rsidR="00FC1499" w:rsidRPr="00810B50">
        <w:rPr>
          <w:rFonts w:ascii="Calibri" w:hAnsi="Calibri"/>
          <w:lang w:val="en-GB"/>
        </w:rPr>
        <w:t>.</w:t>
      </w:r>
      <w:r w:rsidR="005D2162" w:rsidRPr="00810B50">
        <w:rPr>
          <w:rFonts w:ascii="Calibri" w:hAnsi="Calibri"/>
          <w:lang w:val="en-GB"/>
        </w:rPr>
        <w:t xml:space="preserve"> </w:t>
      </w:r>
    </w:p>
    <w:p w14:paraId="25AD0D10" w14:textId="3465CC3A" w:rsidR="00937496" w:rsidRPr="00810B50" w:rsidRDefault="005D2162" w:rsidP="005D2162">
      <w:pPr>
        <w:pStyle w:val="ListParagraph"/>
        <w:numPr>
          <w:ilvl w:val="1"/>
          <w:numId w:val="13"/>
        </w:numPr>
        <w:jc w:val="both"/>
        <w:rPr>
          <w:rFonts w:ascii="Calibri" w:hAnsi="Calibri"/>
          <w:lang w:val="en-GB"/>
        </w:rPr>
      </w:pPr>
      <w:r w:rsidRPr="00810B50">
        <w:rPr>
          <w:rFonts w:ascii="Calibri" w:hAnsi="Calibri"/>
          <w:lang w:val="en-GB"/>
        </w:rPr>
        <w:t>R</w:t>
      </w:r>
      <w:r w:rsidR="00937496" w:rsidRPr="00810B50">
        <w:rPr>
          <w:rFonts w:ascii="Calibri" w:hAnsi="Calibri"/>
          <w:lang w:val="en-GB"/>
        </w:rPr>
        <w:t>ecommendations for data collection</w:t>
      </w:r>
      <w:r w:rsidR="00FC1499" w:rsidRPr="00810B50">
        <w:rPr>
          <w:rFonts w:ascii="Calibri" w:hAnsi="Calibri"/>
          <w:lang w:val="en-GB"/>
        </w:rPr>
        <w:t>.</w:t>
      </w:r>
    </w:p>
    <w:p w14:paraId="698ECC99" w14:textId="0B3E5A38" w:rsidR="001B54C3" w:rsidRPr="00810B50" w:rsidRDefault="001B54C3" w:rsidP="00937496">
      <w:pPr>
        <w:spacing w:after="0" w:line="240" w:lineRule="auto"/>
        <w:jc w:val="both"/>
        <w:rPr>
          <w:rFonts w:ascii="Calibri" w:hAnsi="Calibri"/>
          <w:lang w:val="en-GB"/>
        </w:rPr>
      </w:pPr>
    </w:p>
    <w:p w14:paraId="6DBA69BD" w14:textId="77777777" w:rsidR="00B847FA" w:rsidRPr="00810B50" w:rsidRDefault="00B847FA" w:rsidP="00937496">
      <w:pPr>
        <w:spacing w:after="0" w:line="240" w:lineRule="auto"/>
        <w:jc w:val="both"/>
        <w:rPr>
          <w:rFonts w:ascii="Calibri" w:hAnsi="Calibri"/>
          <w:lang w:val="en-GB"/>
        </w:rPr>
        <w:sectPr w:rsidR="00B847FA" w:rsidRPr="00810B50" w:rsidSect="00937496">
          <w:footerReference w:type="default" r:id="rId8"/>
          <w:pgSz w:w="16838" w:h="11906" w:orient="landscape" w:code="9"/>
          <w:pgMar w:top="1440" w:right="1440" w:bottom="1440" w:left="1440" w:header="720" w:footer="837" w:gutter="0"/>
          <w:cols w:space="720"/>
          <w:docGrid w:linePitch="360"/>
        </w:sectPr>
      </w:pPr>
    </w:p>
    <w:p w14:paraId="23777A7D" w14:textId="736E25AF" w:rsidR="00B847FA" w:rsidRPr="00076E3D" w:rsidRDefault="00A62B76" w:rsidP="00F1327A">
      <w:pPr>
        <w:spacing w:after="0" w:line="240" w:lineRule="auto"/>
        <w:rPr>
          <w:rFonts w:ascii="Calibri" w:hAnsi="Calibri"/>
          <w:color w:val="543F95"/>
          <w:sz w:val="26"/>
          <w:szCs w:val="26"/>
          <w:lang w:val="en-GB"/>
        </w:rPr>
      </w:pPr>
      <w:r w:rsidRPr="00961040">
        <w:rPr>
          <w:rFonts w:ascii="Calibri" w:hAnsi="Calibri"/>
          <w:color w:val="08BCC1" w:themeColor="accent1"/>
          <w:sz w:val="26"/>
          <w:szCs w:val="26"/>
          <w:lang w:val="en-GB"/>
        </w:rPr>
        <w:lastRenderedPageBreak/>
        <w:t xml:space="preserve">Themes and </w:t>
      </w:r>
      <w:r w:rsidR="00E34DD7" w:rsidRPr="00961040">
        <w:rPr>
          <w:rFonts w:ascii="Calibri" w:hAnsi="Calibri"/>
          <w:color w:val="08BCC1" w:themeColor="accent1"/>
          <w:sz w:val="26"/>
          <w:szCs w:val="26"/>
          <w:lang w:val="en-GB"/>
        </w:rPr>
        <w:t>s</w:t>
      </w:r>
      <w:r w:rsidRPr="00961040">
        <w:rPr>
          <w:rFonts w:ascii="Calibri" w:hAnsi="Calibri"/>
          <w:color w:val="08BCC1" w:themeColor="accent1"/>
          <w:sz w:val="26"/>
          <w:szCs w:val="26"/>
          <w:lang w:val="en-GB"/>
        </w:rPr>
        <w:t>ub-</w:t>
      </w:r>
      <w:r w:rsidR="00E34DD7" w:rsidRPr="00961040">
        <w:rPr>
          <w:rFonts w:ascii="Calibri" w:hAnsi="Calibri"/>
          <w:color w:val="08BCC1" w:themeColor="accent1"/>
          <w:sz w:val="26"/>
          <w:szCs w:val="26"/>
          <w:lang w:val="en-GB"/>
        </w:rPr>
        <w:t>t</w:t>
      </w:r>
      <w:r w:rsidRPr="00961040">
        <w:rPr>
          <w:rFonts w:ascii="Calibri" w:hAnsi="Calibri"/>
          <w:color w:val="08BCC1" w:themeColor="accent1"/>
          <w:sz w:val="26"/>
          <w:szCs w:val="26"/>
          <w:lang w:val="en-GB"/>
        </w:rPr>
        <w:t>hemes</w:t>
      </w:r>
      <w:r w:rsidR="00AB07A3" w:rsidRPr="00961040">
        <w:rPr>
          <w:rFonts w:ascii="Calibri" w:hAnsi="Calibri"/>
          <w:color w:val="08BCC1" w:themeColor="accent1"/>
          <w:sz w:val="26"/>
          <w:szCs w:val="26"/>
          <w:lang w:val="en-GB"/>
        </w:rPr>
        <w:t xml:space="preserve"> to frame </w:t>
      </w:r>
      <w:r w:rsidR="00E34DD7" w:rsidRPr="00961040">
        <w:rPr>
          <w:rFonts w:ascii="Calibri" w:hAnsi="Calibri"/>
          <w:color w:val="08BCC1" w:themeColor="accent1"/>
          <w:sz w:val="26"/>
          <w:szCs w:val="26"/>
          <w:lang w:val="en-GB"/>
        </w:rPr>
        <w:t>d</w:t>
      </w:r>
      <w:r w:rsidR="00AB07A3" w:rsidRPr="00961040">
        <w:rPr>
          <w:rFonts w:ascii="Calibri" w:hAnsi="Calibri"/>
          <w:color w:val="08BCC1" w:themeColor="accent1"/>
          <w:sz w:val="26"/>
          <w:szCs w:val="26"/>
          <w:lang w:val="en-GB"/>
        </w:rPr>
        <w:t xml:space="preserve">esk </w:t>
      </w:r>
      <w:r w:rsidR="00E34DD7" w:rsidRPr="00961040">
        <w:rPr>
          <w:rFonts w:ascii="Calibri" w:hAnsi="Calibri"/>
          <w:color w:val="08BCC1" w:themeColor="accent1"/>
          <w:sz w:val="26"/>
          <w:szCs w:val="26"/>
          <w:lang w:val="en-GB"/>
        </w:rPr>
        <w:t>r</w:t>
      </w:r>
      <w:r w:rsidR="00AB07A3" w:rsidRPr="00961040">
        <w:rPr>
          <w:rFonts w:ascii="Calibri" w:hAnsi="Calibri"/>
          <w:color w:val="08BCC1" w:themeColor="accent1"/>
          <w:sz w:val="26"/>
          <w:szCs w:val="26"/>
          <w:lang w:val="en-GB"/>
        </w:rPr>
        <w:t xml:space="preserve">eview </w:t>
      </w:r>
      <w:r w:rsidR="00E34DD7" w:rsidRPr="00961040">
        <w:rPr>
          <w:rFonts w:ascii="Calibri" w:hAnsi="Calibri"/>
          <w:color w:val="08BCC1" w:themeColor="accent1"/>
          <w:sz w:val="26"/>
          <w:szCs w:val="26"/>
          <w:lang w:val="en-GB"/>
        </w:rPr>
        <w:t>f</w:t>
      </w:r>
      <w:r w:rsidR="00AB07A3" w:rsidRPr="00961040">
        <w:rPr>
          <w:rFonts w:ascii="Calibri" w:hAnsi="Calibri"/>
          <w:color w:val="08BCC1" w:themeColor="accent1"/>
          <w:sz w:val="26"/>
          <w:szCs w:val="26"/>
          <w:lang w:val="en-GB"/>
        </w:rPr>
        <w:t>indings</w:t>
      </w:r>
    </w:p>
    <w:tbl>
      <w:tblPr>
        <w:tblW w:w="1410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350"/>
        <w:gridCol w:w="1800"/>
        <w:gridCol w:w="5760"/>
        <w:gridCol w:w="2160"/>
        <w:gridCol w:w="2250"/>
      </w:tblGrid>
      <w:tr w:rsidR="005A2EB5" w:rsidRPr="00E34DD7" w14:paraId="7D104C59" w14:textId="745FC684" w:rsidTr="00961040">
        <w:trPr>
          <w:trHeight w:val="900"/>
          <w:tblHeader/>
        </w:trPr>
        <w:tc>
          <w:tcPr>
            <w:tcW w:w="787" w:type="dxa"/>
            <w:shd w:val="clear" w:color="auto" w:fill="08BCC1" w:themeFill="accent1"/>
            <w:noWrap/>
            <w:vAlign w:val="center"/>
            <w:hideMark/>
          </w:tcPr>
          <w:p w14:paraId="7A55180B" w14:textId="77777777" w:rsidR="005A2EB5" w:rsidRPr="00076E3D" w:rsidRDefault="005A2EB5" w:rsidP="0015628B">
            <w:pPr>
              <w:spacing w:after="0" w:line="240" w:lineRule="auto"/>
              <w:rPr>
                <w:rFonts w:ascii="Calibri" w:eastAsia="Times New Roman" w:hAnsi="Calibri" w:cs="Calibri"/>
                <w:b/>
                <w:bCs/>
                <w:color w:val="FFFFFF"/>
                <w:sz w:val="20"/>
                <w:szCs w:val="20"/>
                <w:lang w:val="en-GB"/>
              </w:rPr>
            </w:pPr>
            <w:r w:rsidRPr="00076E3D">
              <w:rPr>
                <w:rFonts w:ascii="Calibri" w:eastAsia="Times New Roman" w:hAnsi="Calibri" w:cs="Calibri"/>
                <w:b/>
                <w:bCs/>
                <w:color w:val="FFFFFF"/>
                <w:sz w:val="20"/>
                <w:szCs w:val="20"/>
                <w:lang w:val="en-GB"/>
              </w:rPr>
              <w:t>Theme</w:t>
            </w:r>
          </w:p>
        </w:tc>
        <w:tc>
          <w:tcPr>
            <w:tcW w:w="1350" w:type="dxa"/>
            <w:shd w:val="clear" w:color="auto" w:fill="08BCC1" w:themeFill="accent1"/>
            <w:noWrap/>
            <w:vAlign w:val="center"/>
            <w:hideMark/>
          </w:tcPr>
          <w:p w14:paraId="2D885A4E" w14:textId="63A89485" w:rsidR="005A2EB5" w:rsidRPr="00076E3D" w:rsidRDefault="005A2EB5" w:rsidP="0015628B">
            <w:pPr>
              <w:spacing w:after="0" w:line="240" w:lineRule="auto"/>
              <w:rPr>
                <w:rFonts w:ascii="Calibri" w:eastAsia="Times New Roman" w:hAnsi="Calibri" w:cs="Calibri"/>
                <w:b/>
                <w:bCs/>
                <w:color w:val="FFFFFF"/>
                <w:sz w:val="20"/>
                <w:szCs w:val="20"/>
                <w:lang w:val="en-GB"/>
              </w:rPr>
            </w:pPr>
            <w:r w:rsidRPr="00076E3D">
              <w:rPr>
                <w:rFonts w:ascii="Calibri" w:eastAsia="Times New Roman" w:hAnsi="Calibri" w:cs="Calibri"/>
                <w:b/>
                <w:bCs/>
                <w:color w:val="FFFFFF"/>
                <w:sz w:val="20"/>
                <w:szCs w:val="20"/>
                <w:lang w:val="en-GB"/>
              </w:rPr>
              <w:t>Sub-</w:t>
            </w:r>
            <w:r w:rsidR="00E34DD7">
              <w:rPr>
                <w:rFonts w:ascii="Calibri" w:eastAsia="Times New Roman" w:hAnsi="Calibri" w:cs="Calibri"/>
                <w:b/>
                <w:bCs/>
                <w:color w:val="FFFFFF"/>
                <w:sz w:val="20"/>
                <w:szCs w:val="20"/>
                <w:lang w:val="en-GB"/>
              </w:rPr>
              <w:t>t</w:t>
            </w:r>
            <w:r w:rsidRPr="00076E3D">
              <w:rPr>
                <w:rFonts w:ascii="Calibri" w:eastAsia="Times New Roman" w:hAnsi="Calibri" w:cs="Calibri"/>
                <w:b/>
                <w:bCs/>
                <w:color w:val="FFFFFF"/>
                <w:sz w:val="20"/>
                <w:szCs w:val="20"/>
                <w:lang w:val="en-GB"/>
              </w:rPr>
              <w:t>heme</w:t>
            </w:r>
          </w:p>
        </w:tc>
        <w:tc>
          <w:tcPr>
            <w:tcW w:w="1800" w:type="dxa"/>
            <w:shd w:val="clear" w:color="auto" w:fill="08BCC1" w:themeFill="accent1"/>
            <w:vAlign w:val="center"/>
            <w:hideMark/>
          </w:tcPr>
          <w:p w14:paraId="62FD22FF" w14:textId="5556AC86" w:rsidR="005A2EB5" w:rsidRPr="00076E3D" w:rsidRDefault="005A2EB5" w:rsidP="0015628B">
            <w:pPr>
              <w:spacing w:after="0" w:line="240" w:lineRule="auto"/>
              <w:rPr>
                <w:rFonts w:ascii="Calibri" w:eastAsia="Times New Roman" w:hAnsi="Calibri" w:cs="Calibri"/>
                <w:b/>
                <w:bCs/>
                <w:color w:val="FFFFFF"/>
                <w:sz w:val="20"/>
                <w:szCs w:val="20"/>
                <w:lang w:val="en-GB"/>
              </w:rPr>
            </w:pPr>
            <w:r w:rsidRPr="00076E3D">
              <w:rPr>
                <w:rFonts w:ascii="Calibri" w:eastAsia="Times New Roman" w:hAnsi="Calibri" w:cs="Calibri"/>
                <w:b/>
                <w:bCs/>
                <w:color w:val="FFFFFF"/>
                <w:sz w:val="20"/>
                <w:szCs w:val="20"/>
                <w:lang w:val="en-GB"/>
              </w:rPr>
              <w:t xml:space="preserve">Information </w:t>
            </w:r>
            <w:r w:rsidR="00E34DD7">
              <w:rPr>
                <w:rFonts w:ascii="Calibri" w:eastAsia="Times New Roman" w:hAnsi="Calibri" w:cs="Calibri"/>
                <w:b/>
                <w:bCs/>
                <w:color w:val="FFFFFF"/>
                <w:sz w:val="20"/>
                <w:szCs w:val="20"/>
                <w:lang w:val="en-GB"/>
              </w:rPr>
              <w:t>t</w:t>
            </w:r>
            <w:r w:rsidRPr="00076E3D">
              <w:rPr>
                <w:rFonts w:ascii="Calibri" w:eastAsia="Times New Roman" w:hAnsi="Calibri" w:cs="Calibri"/>
                <w:b/>
                <w:bCs/>
                <w:color w:val="FFFFFF"/>
                <w:sz w:val="20"/>
                <w:szCs w:val="20"/>
                <w:lang w:val="en-GB"/>
              </w:rPr>
              <w:t>ype(s)</w:t>
            </w:r>
          </w:p>
        </w:tc>
        <w:tc>
          <w:tcPr>
            <w:tcW w:w="5760" w:type="dxa"/>
            <w:shd w:val="clear" w:color="auto" w:fill="08BCC1" w:themeFill="accent1"/>
            <w:vAlign w:val="center"/>
            <w:hideMark/>
          </w:tcPr>
          <w:p w14:paraId="2434877A" w14:textId="2CECD10C" w:rsidR="005A2EB5" w:rsidRPr="00076E3D" w:rsidRDefault="005A2EB5" w:rsidP="0015628B">
            <w:pPr>
              <w:spacing w:after="0" w:line="240" w:lineRule="auto"/>
              <w:rPr>
                <w:rFonts w:ascii="Calibri" w:eastAsia="Times New Roman" w:hAnsi="Calibri" w:cs="Calibri"/>
                <w:b/>
                <w:bCs/>
                <w:color w:val="FFFFFF"/>
                <w:sz w:val="20"/>
                <w:szCs w:val="20"/>
                <w:lang w:val="en-GB"/>
              </w:rPr>
            </w:pPr>
            <w:r w:rsidRPr="00076E3D">
              <w:rPr>
                <w:rFonts w:ascii="Calibri" w:eastAsia="Times New Roman" w:hAnsi="Calibri" w:cs="Calibri"/>
                <w:b/>
                <w:bCs/>
                <w:color w:val="FFFFFF"/>
                <w:sz w:val="20"/>
                <w:szCs w:val="20"/>
                <w:lang w:val="en-GB"/>
              </w:rPr>
              <w:t xml:space="preserve">Suggested </w:t>
            </w:r>
            <w:r w:rsidR="00E34DD7">
              <w:rPr>
                <w:rFonts w:ascii="Calibri" w:eastAsia="Times New Roman" w:hAnsi="Calibri" w:cs="Calibri"/>
                <w:b/>
                <w:bCs/>
                <w:color w:val="FFFFFF"/>
                <w:sz w:val="20"/>
                <w:szCs w:val="20"/>
                <w:lang w:val="en-GB"/>
              </w:rPr>
              <w:t>s</w:t>
            </w:r>
            <w:r w:rsidRPr="00076E3D">
              <w:rPr>
                <w:rFonts w:ascii="Calibri" w:eastAsia="Times New Roman" w:hAnsi="Calibri" w:cs="Calibri"/>
                <w:b/>
                <w:bCs/>
                <w:color w:val="FFFFFF"/>
                <w:sz w:val="20"/>
                <w:szCs w:val="20"/>
                <w:lang w:val="en-GB"/>
              </w:rPr>
              <w:t xml:space="preserve">ources for </w:t>
            </w:r>
            <w:r w:rsidR="00E34DD7">
              <w:rPr>
                <w:rFonts w:ascii="Calibri" w:eastAsia="Times New Roman" w:hAnsi="Calibri" w:cs="Calibri"/>
                <w:b/>
                <w:bCs/>
                <w:color w:val="FFFFFF"/>
                <w:sz w:val="20"/>
                <w:szCs w:val="20"/>
                <w:lang w:val="en-GB"/>
              </w:rPr>
              <w:t>i</w:t>
            </w:r>
            <w:r w:rsidRPr="00076E3D">
              <w:rPr>
                <w:rFonts w:ascii="Calibri" w:eastAsia="Times New Roman" w:hAnsi="Calibri" w:cs="Calibri"/>
                <w:b/>
                <w:bCs/>
                <w:color w:val="FFFFFF"/>
                <w:sz w:val="20"/>
                <w:szCs w:val="20"/>
                <w:lang w:val="en-GB"/>
              </w:rPr>
              <w:t>nformation</w:t>
            </w:r>
          </w:p>
        </w:tc>
        <w:tc>
          <w:tcPr>
            <w:tcW w:w="2160" w:type="dxa"/>
            <w:shd w:val="clear" w:color="auto" w:fill="E7E6E6" w:themeFill="background2"/>
            <w:vAlign w:val="center"/>
            <w:hideMark/>
          </w:tcPr>
          <w:p w14:paraId="2AFD1F1F" w14:textId="77777777" w:rsidR="007938D4" w:rsidRPr="00076E3D" w:rsidRDefault="007938D4" w:rsidP="007938D4">
            <w:pPr>
              <w:spacing w:after="0" w:line="240" w:lineRule="auto"/>
              <w:rPr>
                <w:rFonts w:ascii="Calibri" w:eastAsia="Times New Roman" w:hAnsi="Calibri" w:cs="Calibri"/>
                <w:b/>
                <w:bCs/>
                <w:sz w:val="20"/>
                <w:szCs w:val="20"/>
                <w:lang w:val="en-GB"/>
              </w:rPr>
            </w:pPr>
            <w:r w:rsidRPr="00076E3D">
              <w:rPr>
                <w:rFonts w:ascii="Calibri" w:eastAsia="Times New Roman" w:hAnsi="Calibri" w:cs="Calibri"/>
                <w:b/>
                <w:bCs/>
                <w:sz w:val="20"/>
                <w:szCs w:val="20"/>
                <w:lang w:val="en-GB"/>
              </w:rPr>
              <w:t>Notes</w:t>
            </w:r>
          </w:p>
          <w:p w14:paraId="0E3E09F2" w14:textId="4B9FB955" w:rsidR="005A2EB5" w:rsidRPr="00076E3D" w:rsidRDefault="007938D4" w:rsidP="007938D4">
            <w:pPr>
              <w:spacing w:after="0" w:line="240" w:lineRule="auto"/>
              <w:rPr>
                <w:rFonts w:ascii="Calibri" w:eastAsia="Times New Roman" w:hAnsi="Calibri" w:cs="Calibri"/>
                <w:b/>
                <w:bCs/>
                <w:i/>
                <w:sz w:val="20"/>
                <w:szCs w:val="20"/>
                <w:lang w:val="en-GB"/>
              </w:rPr>
            </w:pPr>
            <w:r w:rsidRPr="00076E3D">
              <w:rPr>
                <w:rFonts w:ascii="Calibri" w:eastAsia="Times New Roman" w:hAnsi="Calibri" w:cs="Calibri"/>
                <w:b/>
                <w:bCs/>
                <w:i/>
                <w:sz w:val="20"/>
                <w:szCs w:val="20"/>
                <w:lang w:val="en-GB"/>
              </w:rPr>
              <w:t>Findings</w:t>
            </w:r>
          </w:p>
        </w:tc>
        <w:tc>
          <w:tcPr>
            <w:tcW w:w="2250" w:type="dxa"/>
            <w:shd w:val="clear" w:color="auto" w:fill="E7E6E6" w:themeFill="background2"/>
            <w:vAlign w:val="center"/>
          </w:tcPr>
          <w:p w14:paraId="5D97CDC0" w14:textId="77777777" w:rsidR="007938D4" w:rsidRPr="00076E3D" w:rsidRDefault="007938D4" w:rsidP="007938D4">
            <w:pPr>
              <w:spacing w:after="0" w:line="240" w:lineRule="auto"/>
              <w:rPr>
                <w:rFonts w:ascii="Calibri" w:eastAsia="Times New Roman" w:hAnsi="Calibri" w:cs="Calibri"/>
                <w:b/>
                <w:bCs/>
                <w:sz w:val="20"/>
                <w:szCs w:val="20"/>
                <w:lang w:val="en-GB"/>
              </w:rPr>
            </w:pPr>
            <w:r w:rsidRPr="00076E3D">
              <w:rPr>
                <w:rFonts w:ascii="Calibri" w:eastAsia="Times New Roman" w:hAnsi="Calibri" w:cs="Calibri"/>
                <w:b/>
                <w:bCs/>
                <w:sz w:val="20"/>
                <w:szCs w:val="20"/>
                <w:lang w:val="en-GB"/>
              </w:rPr>
              <w:t>Notes</w:t>
            </w:r>
          </w:p>
          <w:p w14:paraId="194FA021" w14:textId="23BD2B06" w:rsidR="005A2EB5" w:rsidRPr="00076E3D" w:rsidRDefault="007938D4" w:rsidP="007938D4">
            <w:pPr>
              <w:spacing w:after="0" w:line="240" w:lineRule="auto"/>
              <w:rPr>
                <w:rFonts w:ascii="Calibri" w:eastAsia="Times New Roman" w:hAnsi="Calibri" w:cs="Calibri"/>
                <w:b/>
                <w:bCs/>
                <w:i/>
                <w:sz w:val="20"/>
                <w:szCs w:val="20"/>
                <w:lang w:val="en-GB"/>
              </w:rPr>
            </w:pPr>
            <w:r w:rsidRPr="00076E3D">
              <w:rPr>
                <w:rFonts w:ascii="Calibri" w:eastAsia="Times New Roman" w:hAnsi="Calibri" w:cs="Calibri"/>
                <w:b/>
                <w:bCs/>
                <w:i/>
                <w:sz w:val="20"/>
                <w:szCs w:val="20"/>
                <w:lang w:val="en-GB"/>
              </w:rPr>
              <w:t>Outstanding gaps</w:t>
            </w:r>
          </w:p>
        </w:tc>
      </w:tr>
      <w:tr w:rsidR="005A2EB5" w:rsidRPr="00E34DD7" w14:paraId="262057A2" w14:textId="1EBED44D" w:rsidTr="00961040">
        <w:trPr>
          <w:trHeight w:val="1016"/>
        </w:trPr>
        <w:tc>
          <w:tcPr>
            <w:tcW w:w="787" w:type="dxa"/>
            <w:vMerge w:val="restart"/>
            <w:shd w:val="clear" w:color="auto" w:fill="CEF2F3" w:themeFill="accent2"/>
            <w:textDirection w:val="btLr"/>
            <w:vAlign w:val="center"/>
            <w:hideMark/>
          </w:tcPr>
          <w:p w14:paraId="00E5E09C" w14:textId="141C900E" w:rsidR="005A2EB5" w:rsidRPr="00076E3D" w:rsidRDefault="005A2EB5" w:rsidP="005A2EB5">
            <w:pPr>
              <w:spacing w:after="0" w:line="240" w:lineRule="auto"/>
              <w:ind w:left="113" w:right="113"/>
              <w:jc w:val="center"/>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Politics and </w:t>
            </w:r>
            <w:r w:rsidR="00E34DD7">
              <w:rPr>
                <w:rFonts w:ascii="Calibri" w:eastAsia="Times New Roman" w:hAnsi="Calibri" w:cs="Calibri"/>
                <w:color w:val="000000"/>
                <w:sz w:val="20"/>
                <w:szCs w:val="20"/>
                <w:lang w:val="en-GB"/>
              </w:rPr>
              <w:t>g</w:t>
            </w:r>
            <w:r w:rsidR="00E34DD7" w:rsidRPr="00076E3D">
              <w:rPr>
                <w:rFonts w:ascii="Calibri" w:eastAsia="Times New Roman" w:hAnsi="Calibri" w:cs="Calibri"/>
                <w:color w:val="000000"/>
                <w:sz w:val="20"/>
                <w:szCs w:val="20"/>
                <w:lang w:val="en-GB"/>
              </w:rPr>
              <w:t>overnance</w:t>
            </w:r>
          </w:p>
          <w:p w14:paraId="1CA5658F" w14:textId="74535017" w:rsidR="005A2EB5" w:rsidRPr="00076E3D" w:rsidRDefault="005A2EB5" w:rsidP="005A2EB5">
            <w:pPr>
              <w:spacing w:after="0" w:line="240" w:lineRule="auto"/>
              <w:ind w:left="113" w:right="113"/>
              <w:jc w:val="center"/>
              <w:rPr>
                <w:rFonts w:ascii="Calibri" w:eastAsia="Times New Roman" w:hAnsi="Calibri" w:cs="Calibri"/>
                <w:color w:val="000000"/>
                <w:sz w:val="20"/>
                <w:szCs w:val="20"/>
                <w:lang w:val="en-GB"/>
              </w:rPr>
            </w:pPr>
          </w:p>
        </w:tc>
        <w:tc>
          <w:tcPr>
            <w:tcW w:w="1350" w:type="dxa"/>
            <w:vMerge w:val="restart"/>
            <w:shd w:val="clear" w:color="auto" w:fill="CEF2F3" w:themeFill="accent2"/>
            <w:vAlign w:val="center"/>
            <w:hideMark/>
          </w:tcPr>
          <w:p w14:paraId="1035EDA1" w14:textId="26CF22A2"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Stakeholder </w:t>
            </w:r>
            <w:r w:rsidR="00FC1499">
              <w:rPr>
                <w:rFonts w:ascii="Calibri" w:eastAsia="Times New Roman" w:hAnsi="Calibri" w:cs="Calibri"/>
                <w:color w:val="000000"/>
                <w:sz w:val="20"/>
                <w:szCs w:val="20"/>
                <w:lang w:val="en-GB"/>
              </w:rPr>
              <w:t>a</w:t>
            </w:r>
            <w:r w:rsidRPr="00076E3D">
              <w:rPr>
                <w:rFonts w:ascii="Calibri" w:eastAsia="Times New Roman" w:hAnsi="Calibri" w:cs="Calibri"/>
                <w:color w:val="000000"/>
                <w:sz w:val="20"/>
                <w:szCs w:val="20"/>
                <w:lang w:val="en-GB"/>
              </w:rPr>
              <w:t>nalysis</w:t>
            </w:r>
          </w:p>
        </w:tc>
        <w:tc>
          <w:tcPr>
            <w:tcW w:w="1800" w:type="dxa"/>
            <w:shd w:val="clear" w:color="auto" w:fill="CEF2F3" w:themeFill="accent2"/>
            <w:vAlign w:val="center"/>
            <w:hideMark/>
          </w:tcPr>
          <w:p w14:paraId="7FE9E252" w14:textId="26FFEDB6" w:rsidR="005A2EB5" w:rsidRPr="00076E3D" w:rsidRDefault="00F46CC7"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Stakeholder</w:t>
            </w:r>
            <w:r w:rsidR="005A2EB5" w:rsidRPr="00076E3D">
              <w:rPr>
                <w:rFonts w:ascii="Calibri" w:eastAsia="Times New Roman" w:hAnsi="Calibri" w:cs="Calibri"/>
                <w:color w:val="000000"/>
                <w:sz w:val="20"/>
                <w:szCs w:val="20"/>
                <w:lang w:val="en-GB"/>
              </w:rPr>
              <w:t xml:space="preserve"> mapping</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hideMark/>
          </w:tcPr>
          <w:p w14:paraId="492BE4A0" w14:textId="77777777"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National ministry responsible for service delivery. There may be sector policy documents for specific regions or urban areas. </w:t>
            </w:r>
          </w:p>
          <w:p w14:paraId="4A9C63C4" w14:textId="572687B5" w:rsidR="005A2EB5" w:rsidRPr="00076E3D" w:rsidRDefault="005A2EB5" w:rsidP="003D021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In some cases, these will be available online, but more commonly will need to be requested directly </w:t>
            </w:r>
            <w:r w:rsidR="003D0216">
              <w:rPr>
                <w:rFonts w:ascii="Calibri" w:eastAsia="Times New Roman" w:hAnsi="Calibri" w:cs="Calibri"/>
                <w:color w:val="000000"/>
                <w:sz w:val="20"/>
                <w:szCs w:val="20"/>
                <w:lang w:val="en-GB"/>
              </w:rPr>
              <w:t>from</w:t>
            </w:r>
            <w:r w:rsidRPr="00076E3D">
              <w:rPr>
                <w:rFonts w:ascii="Calibri" w:eastAsia="Times New Roman" w:hAnsi="Calibri" w:cs="Calibri"/>
                <w:color w:val="000000"/>
                <w:sz w:val="20"/>
                <w:szCs w:val="20"/>
                <w:lang w:val="en-GB"/>
              </w:rPr>
              <w:t xml:space="preserve"> the proper authority, </w:t>
            </w:r>
            <w:proofErr w:type="spellStart"/>
            <w:r w:rsidRPr="00076E3D">
              <w:rPr>
                <w:rFonts w:ascii="Calibri" w:eastAsia="Times New Roman" w:hAnsi="Calibri" w:cs="Calibri"/>
                <w:color w:val="000000"/>
                <w:sz w:val="20"/>
                <w:szCs w:val="20"/>
                <w:lang w:val="en-GB"/>
              </w:rPr>
              <w:t>e</w:t>
            </w:r>
            <w:r w:rsidR="00E34DD7">
              <w:rPr>
                <w:rFonts w:ascii="Calibri" w:eastAsia="Times New Roman" w:hAnsi="Calibri" w:cs="Calibri"/>
                <w:color w:val="000000"/>
                <w:sz w:val="20"/>
                <w:szCs w:val="20"/>
                <w:lang w:val="en-GB"/>
              </w:rPr>
              <w:t>g</w:t>
            </w:r>
            <w:proofErr w:type="spellEnd"/>
            <w:r w:rsidR="00E34DD7">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 xml:space="preserve">regional or local office of the relevant </w:t>
            </w:r>
            <w:r w:rsidR="00E34DD7">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inistry</w:t>
            </w:r>
            <w:r w:rsidR="003D0216">
              <w:rPr>
                <w:rFonts w:ascii="Calibri" w:eastAsia="Times New Roman" w:hAnsi="Calibri" w:cs="Calibri"/>
                <w:color w:val="000000"/>
                <w:sz w:val="20"/>
                <w:szCs w:val="20"/>
                <w:lang w:val="en-GB"/>
              </w:rPr>
              <w:t xml:space="preserve"> or department</w:t>
            </w:r>
            <w:r w:rsidRPr="00076E3D">
              <w:rPr>
                <w:rFonts w:ascii="Calibri" w:eastAsia="Times New Roman" w:hAnsi="Calibri" w:cs="Calibri"/>
                <w:color w:val="000000"/>
                <w:sz w:val="20"/>
                <w:szCs w:val="20"/>
                <w:lang w:val="en-GB"/>
              </w:rPr>
              <w:t>.</w:t>
            </w:r>
          </w:p>
        </w:tc>
        <w:tc>
          <w:tcPr>
            <w:tcW w:w="2160" w:type="dxa"/>
            <w:shd w:val="clear" w:color="auto" w:fill="E7E6E6" w:themeFill="background2"/>
            <w:vAlign w:val="center"/>
            <w:hideMark/>
          </w:tcPr>
          <w:p w14:paraId="6CAC3955" w14:textId="2D9C1111"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19E35E4C"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5EA8D470" w14:textId="42A558A9" w:rsidTr="00961040">
        <w:trPr>
          <w:trHeight w:val="1718"/>
        </w:trPr>
        <w:tc>
          <w:tcPr>
            <w:tcW w:w="787" w:type="dxa"/>
            <w:vMerge/>
            <w:shd w:val="clear" w:color="auto" w:fill="CEF2F3" w:themeFill="accent2"/>
            <w:vAlign w:val="center"/>
          </w:tcPr>
          <w:p w14:paraId="709E90A6"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0E20116A"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7F48D291" w14:textId="67AE2D9B" w:rsidR="005A2EB5" w:rsidRPr="00076E3D" w:rsidDel="0089004D" w:rsidRDefault="005A2EB5" w:rsidP="003D021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Assessments of right</w:t>
            </w:r>
            <w:r w:rsidR="003D0216">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 xml:space="preserve"> and duty bearers</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tcPr>
          <w:p w14:paraId="1CB4C208" w14:textId="5AFE0348"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Potential sources are primarily other development actors, including donors, international development </w:t>
            </w:r>
            <w:r w:rsidR="003D0216">
              <w:rPr>
                <w:rFonts w:ascii="Calibri" w:eastAsia="Times New Roman" w:hAnsi="Calibri" w:cs="Calibri"/>
                <w:color w:val="000000"/>
                <w:sz w:val="20"/>
                <w:szCs w:val="20"/>
                <w:lang w:val="en-GB"/>
              </w:rPr>
              <w:t>organisation</w:t>
            </w:r>
            <w:r w:rsidRPr="00076E3D">
              <w:rPr>
                <w:rFonts w:ascii="Calibri" w:eastAsia="Times New Roman" w:hAnsi="Calibri" w:cs="Calibri"/>
                <w:color w:val="000000"/>
                <w:sz w:val="20"/>
                <w:szCs w:val="20"/>
                <w:lang w:val="en-GB"/>
              </w:rPr>
              <w:t>s</w:t>
            </w:r>
            <w:r w:rsidR="003D0216">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 xml:space="preserve"> non-profits, and local partners.</w:t>
            </w:r>
            <w:r w:rsidR="00157C4C" w:rsidRPr="00076E3D">
              <w:rPr>
                <w:rFonts w:ascii="Calibri" w:eastAsia="Times New Roman" w:hAnsi="Calibri" w:cs="Calibri"/>
                <w:color w:val="000000"/>
                <w:sz w:val="20"/>
                <w:szCs w:val="20"/>
                <w:lang w:val="en-GB"/>
              </w:rPr>
              <w:t xml:space="preserve"> UN</w:t>
            </w:r>
            <w:r w:rsidR="00E34DD7">
              <w:rPr>
                <w:rFonts w:ascii="Calibri" w:eastAsia="Times New Roman" w:hAnsi="Calibri" w:cs="Calibri"/>
                <w:color w:val="000000"/>
                <w:sz w:val="20"/>
                <w:szCs w:val="20"/>
                <w:lang w:val="en-GB"/>
              </w:rPr>
              <w:t>-</w:t>
            </w:r>
            <w:r w:rsidR="00157C4C" w:rsidRPr="00076E3D">
              <w:rPr>
                <w:rFonts w:ascii="Calibri" w:eastAsia="Times New Roman" w:hAnsi="Calibri" w:cs="Calibri"/>
                <w:color w:val="000000"/>
                <w:sz w:val="20"/>
                <w:szCs w:val="20"/>
                <w:lang w:val="en-GB"/>
              </w:rPr>
              <w:t>H</w:t>
            </w:r>
            <w:r w:rsidR="00E34DD7">
              <w:rPr>
                <w:rFonts w:ascii="Calibri" w:eastAsia="Times New Roman" w:hAnsi="Calibri" w:cs="Calibri"/>
                <w:color w:val="000000"/>
                <w:sz w:val="20"/>
                <w:szCs w:val="20"/>
                <w:lang w:val="en-GB"/>
              </w:rPr>
              <w:t>abitat</w:t>
            </w:r>
            <w:r w:rsidR="00157C4C" w:rsidRPr="00076E3D">
              <w:rPr>
                <w:rFonts w:ascii="Calibri" w:eastAsia="Times New Roman" w:hAnsi="Calibri" w:cs="Calibri"/>
                <w:color w:val="000000"/>
                <w:sz w:val="20"/>
                <w:szCs w:val="20"/>
                <w:lang w:val="en-GB"/>
              </w:rPr>
              <w:t xml:space="preserve"> urban profiles may be a key source of information. </w:t>
            </w:r>
          </w:p>
          <w:p w14:paraId="27C2F452" w14:textId="5696BBA1"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These assessments are likely to be more sensitive than poverty assessments and may require meeting directly with development partner</w:t>
            </w:r>
            <w:r w:rsidR="003D0216">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 international donors, or other stakeholders who regularly review the capacity of local duty bearers.</w:t>
            </w:r>
          </w:p>
        </w:tc>
        <w:tc>
          <w:tcPr>
            <w:tcW w:w="2160" w:type="dxa"/>
            <w:shd w:val="clear" w:color="auto" w:fill="E7E6E6" w:themeFill="background2"/>
            <w:vAlign w:val="center"/>
          </w:tcPr>
          <w:p w14:paraId="7D23BA23"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5C471712"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35E1D037" w14:textId="2E4CF8EA" w:rsidTr="00961040">
        <w:trPr>
          <w:trHeight w:val="728"/>
        </w:trPr>
        <w:tc>
          <w:tcPr>
            <w:tcW w:w="787" w:type="dxa"/>
            <w:vMerge/>
            <w:shd w:val="clear" w:color="auto" w:fill="CEF2F3" w:themeFill="accent2"/>
            <w:vAlign w:val="center"/>
          </w:tcPr>
          <w:p w14:paraId="4D249FB7"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1110086C"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2F1FE204" w14:textId="2210951E"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Partnership, coordination and consortia arrangements</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tcPr>
          <w:p w14:paraId="752E7191" w14:textId="73FE67E7"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Government or UN agencies, </w:t>
            </w:r>
            <w:r w:rsidR="00E34DD7" w:rsidRPr="00E34DD7">
              <w:rPr>
                <w:rFonts w:ascii="Calibri" w:eastAsia="Times New Roman" w:hAnsi="Calibri" w:cs="Calibri"/>
                <w:color w:val="000000"/>
                <w:sz w:val="20"/>
                <w:szCs w:val="20"/>
                <w:lang w:val="en-GB"/>
              </w:rPr>
              <w:t>international inter-agency humanitarian coordination system</w:t>
            </w:r>
            <w:r w:rsidRPr="00076E3D">
              <w:rPr>
                <w:rFonts w:ascii="Calibri" w:eastAsia="Times New Roman" w:hAnsi="Calibri" w:cs="Calibri"/>
                <w:color w:val="000000"/>
                <w:sz w:val="20"/>
                <w:szCs w:val="20"/>
                <w:lang w:val="en-GB"/>
              </w:rPr>
              <w:t xml:space="preserve"> at country level.</w:t>
            </w:r>
          </w:p>
        </w:tc>
        <w:tc>
          <w:tcPr>
            <w:tcW w:w="2160" w:type="dxa"/>
            <w:shd w:val="clear" w:color="auto" w:fill="E7E6E6" w:themeFill="background2"/>
            <w:vAlign w:val="center"/>
          </w:tcPr>
          <w:p w14:paraId="11C7B7C6"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59F5E7A6"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420714F6" w14:textId="49C49F73" w:rsidTr="00961040">
        <w:trPr>
          <w:trHeight w:val="422"/>
        </w:trPr>
        <w:tc>
          <w:tcPr>
            <w:tcW w:w="787" w:type="dxa"/>
            <w:vMerge/>
            <w:shd w:val="clear" w:color="auto" w:fill="CEF2F3" w:themeFill="accent2"/>
            <w:vAlign w:val="center"/>
          </w:tcPr>
          <w:p w14:paraId="7E5170DF"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156428DB"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3E800731" w14:textId="6526F1A1"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rPr>
              <w:t>Data from other actors on challenges and opportunities</w:t>
            </w:r>
            <w:r w:rsidR="00FC1499">
              <w:rPr>
                <w:rFonts w:ascii="Calibri" w:eastAsia="Times New Roman" w:hAnsi="Calibri" w:cs="Calibri"/>
                <w:color w:val="000000"/>
                <w:sz w:val="20"/>
                <w:szCs w:val="20"/>
              </w:rPr>
              <w:t>.</w:t>
            </w:r>
          </w:p>
        </w:tc>
        <w:tc>
          <w:tcPr>
            <w:tcW w:w="5760" w:type="dxa"/>
            <w:shd w:val="clear" w:color="auto" w:fill="CEF2F3" w:themeFill="accent2"/>
            <w:vAlign w:val="center"/>
          </w:tcPr>
          <w:p w14:paraId="463B100D" w14:textId="22DB2586"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International and local stakeholders (UNICEF, USAID, local</w:t>
            </w:r>
            <w:r w:rsidR="00E34DD7">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NGOs, etc.), field surveys of specific neighbourhoods, focus group discussions with children and families.</w:t>
            </w:r>
          </w:p>
          <w:p w14:paraId="50A0AE07" w14:textId="62E389E7"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rPr>
              <w:t>These should be available online. Use any contacts to ask for published or unpublished reports or data.</w:t>
            </w:r>
          </w:p>
        </w:tc>
        <w:tc>
          <w:tcPr>
            <w:tcW w:w="2160" w:type="dxa"/>
            <w:shd w:val="clear" w:color="auto" w:fill="E7E6E6" w:themeFill="background2"/>
            <w:vAlign w:val="center"/>
          </w:tcPr>
          <w:p w14:paraId="3F412A78"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1725D7F2"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5DD3CC29" w14:textId="21DA183D" w:rsidTr="00961040">
        <w:trPr>
          <w:trHeight w:val="170"/>
        </w:trPr>
        <w:tc>
          <w:tcPr>
            <w:tcW w:w="787" w:type="dxa"/>
            <w:vMerge/>
            <w:shd w:val="clear" w:color="auto" w:fill="CEF2F3" w:themeFill="accent2"/>
            <w:vAlign w:val="center"/>
          </w:tcPr>
          <w:p w14:paraId="22E36BDA"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09AD435F"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56FE3754" w14:textId="6BC0F940" w:rsidR="005A2EB5" w:rsidRPr="00076E3D" w:rsidRDefault="005A2EB5" w:rsidP="0015628B">
            <w:pPr>
              <w:spacing w:after="0" w:line="240" w:lineRule="auto"/>
              <w:rPr>
                <w:rFonts w:ascii="Calibri" w:eastAsia="Times New Roman" w:hAnsi="Calibri" w:cs="Calibri"/>
                <w:color w:val="000000"/>
                <w:sz w:val="20"/>
                <w:szCs w:val="20"/>
              </w:rPr>
            </w:pPr>
            <w:r w:rsidRPr="00076E3D">
              <w:rPr>
                <w:rFonts w:ascii="Calibri" w:eastAsia="Times New Roman" w:hAnsi="Calibri" w:cs="Calibri"/>
                <w:color w:val="000000"/>
                <w:sz w:val="20"/>
                <w:szCs w:val="20"/>
                <w:lang w:val="en-GB"/>
              </w:rPr>
              <w:t>Budget documents and expenditure reports</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tcPr>
          <w:p w14:paraId="04DE51F4" w14:textId="0EA9D911"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National budgets:</w:t>
            </w:r>
            <w:r w:rsidR="00E34DD7" w:rsidRPr="00E34DD7">
              <w:rPr>
                <w:rFonts w:ascii="Calibri" w:eastAsia="Times New Roman" w:hAnsi="Calibri" w:cs="Calibri"/>
                <w:color w:val="000000"/>
                <w:sz w:val="20"/>
                <w:szCs w:val="20"/>
                <w:lang w:val="en-GB"/>
              </w:rPr>
              <w:t xml:space="preserve"> ministry of finance or the parliamentary budget office</w:t>
            </w:r>
            <w:r w:rsidRPr="00076E3D">
              <w:rPr>
                <w:rFonts w:ascii="Calibri" w:eastAsia="Times New Roman" w:hAnsi="Calibri" w:cs="Calibri"/>
                <w:color w:val="000000"/>
                <w:sz w:val="20"/>
                <w:szCs w:val="20"/>
                <w:lang w:val="en-GB"/>
              </w:rPr>
              <w:t xml:space="preserve"> (or equivalent).</w:t>
            </w:r>
          </w:p>
          <w:p w14:paraId="5FFAADAB" w14:textId="4C3B3F39"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For service sectors: national </w:t>
            </w:r>
            <w:r w:rsidR="00E34DD7">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 xml:space="preserve">inistry offices of finance. </w:t>
            </w:r>
          </w:p>
          <w:p w14:paraId="2EE56385" w14:textId="77777777"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Budget and expenditure data at subnational level: urban local gov. finance officers or local legislative.</w:t>
            </w:r>
          </w:p>
          <w:p w14:paraId="719D649C" w14:textId="5C75B7DB"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In some cases, these may be available online via public notice boards (at local level). Users may need to visit local or national officials to request data directly. In these instances, bring a flash drive and try to leave with the data directly, rather than receiving a </w:t>
            </w:r>
            <w:r w:rsidRPr="00076E3D">
              <w:rPr>
                <w:rFonts w:ascii="Calibri" w:eastAsia="Times New Roman" w:hAnsi="Calibri" w:cs="Calibri"/>
                <w:color w:val="000000"/>
                <w:sz w:val="20"/>
                <w:szCs w:val="20"/>
                <w:lang w:val="en-GB"/>
              </w:rPr>
              <w:lastRenderedPageBreak/>
              <w:t>promise to have the data emailed. Users may find it helpful to partner with other donors (World Bank, USAID, etc.) to retrieve budget data if it is difficult to obtain directly.</w:t>
            </w:r>
          </w:p>
        </w:tc>
        <w:tc>
          <w:tcPr>
            <w:tcW w:w="2160" w:type="dxa"/>
            <w:shd w:val="clear" w:color="auto" w:fill="E7E6E6" w:themeFill="background2"/>
            <w:vAlign w:val="center"/>
          </w:tcPr>
          <w:p w14:paraId="3E299F5F"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46E08DEA"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1BC7CBAA" w14:textId="2FB114DD" w:rsidTr="00961040">
        <w:trPr>
          <w:trHeight w:val="935"/>
        </w:trPr>
        <w:tc>
          <w:tcPr>
            <w:tcW w:w="787" w:type="dxa"/>
            <w:vMerge/>
            <w:vAlign w:val="center"/>
            <w:hideMark/>
          </w:tcPr>
          <w:p w14:paraId="41CEAF1A"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val="restart"/>
            <w:shd w:val="clear" w:color="auto" w:fill="CEF2F3" w:themeFill="accent2"/>
            <w:vAlign w:val="center"/>
            <w:hideMark/>
          </w:tcPr>
          <w:p w14:paraId="31205CB3" w14:textId="17F55ABB"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Governance </w:t>
            </w:r>
            <w:r w:rsidR="00E34DD7">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tructure</w:t>
            </w:r>
          </w:p>
        </w:tc>
        <w:tc>
          <w:tcPr>
            <w:tcW w:w="1800" w:type="dxa"/>
            <w:shd w:val="clear" w:color="auto" w:fill="CEF2F3" w:themeFill="accent2"/>
            <w:vAlign w:val="center"/>
            <w:hideMark/>
          </w:tcPr>
          <w:p w14:paraId="41911A37" w14:textId="01DF3A01"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Policy on service delivery and urban actor mapping</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hideMark/>
          </w:tcPr>
          <w:p w14:paraId="0DB27746" w14:textId="77777777"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National ministry responsible for service delivery. There may be sector policy documents for specific regions or urban areas. </w:t>
            </w:r>
          </w:p>
          <w:p w14:paraId="76A78BFD" w14:textId="1F19F9CF"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In some cases, available online, but more commonly will need to be accessed via a request directly to the proper authority, </w:t>
            </w:r>
            <w:proofErr w:type="spellStart"/>
            <w:r w:rsidRPr="00076E3D">
              <w:rPr>
                <w:rFonts w:ascii="Calibri" w:eastAsia="Times New Roman" w:hAnsi="Calibri" w:cs="Calibri"/>
                <w:color w:val="000000"/>
                <w:sz w:val="20"/>
                <w:szCs w:val="20"/>
                <w:lang w:val="en-GB"/>
              </w:rPr>
              <w:t>e</w:t>
            </w:r>
            <w:r w:rsidR="00E34DD7">
              <w:rPr>
                <w:rFonts w:ascii="Calibri" w:eastAsia="Times New Roman" w:hAnsi="Calibri" w:cs="Calibri"/>
                <w:color w:val="000000"/>
                <w:sz w:val="20"/>
                <w:szCs w:val="20"/>
                <w:lang w:val="en-GB"/>
              </w:rPr>
              <w:t>g</w:t>
            </w:r>
            <w:proofErr w:type="spellEnd"/>
            <w:r w:rsidRPr="00076E3D">
              <w:rPr>
                <w:rFonts w:ascii="Calibri" w:eastAsia="Times New Roman" w:hAnsi="Calibri" w:cs="Calibri"/>
                <w:color w:val="000000"/>
                <w:sz w:val="20"/>
                <w:szCs w:val="20"/>
                <w:lang w:val="en-GB"/>
              </w:rPr>
              <w:t xml:space="preserve"> regional or local office of the relevant ministry.</w:t>
            </w:r>
          </w:p>
        </w:tc>
        <w:tc>
          <w:tcPr>
            <w:tcW w:w="2160" w:type="dxa"/>
            <w:shd w:val="clear" w:color="auto" w:fill="E7E6E6" w:themeFill="background2"/>
            <w:vAlign w:val="center"/>
            <w:hideMark/>
          </w:tcPr>
          <w:p w14:paraId="14B26B37" w14:textId="416EBDE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377A275F"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754AF0C2" w14:textId="64452D1E" w:rsidTr="00961040">
        <w:trPr>
          <w:trHeight w:val="485"/>
        </w:trPr>
        <w:tc>
          <w:tcPr>
            <w:tcW w:w="787" w:type="dxa"/>
            <w:vMerge/>
            <w:vAlign w:val="center"/>
          </w:tcPr>
          <w:p w14:paraId="6258081A"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663BC87A"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1E86D3E7" w14:textId="4291353E" w:rsidR="005A2EB5" w:rsidRPr="00076E3D" w:rsidDel="0089004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Policy on decentrali</w:t>
            </w:r>
            <w:r w:rsidR="00E34DD7">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ation</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tcPr>
          <w:p w14:paraId="0A5E30DF" w14:textId="57B46A75"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National ministry responsible for decentrali</w:t>
            </w:r>
            <w:r w:rsidR="00E34DD7">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ation if one exists, otherwise potentially national ministries for planning, development, finance, or urban affairs.</w:t>
            </w:r>
          </w:p>
          <w:p w14:paraId="357C07C1" w14:textId="43D02C34"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In some cases, available online, but more commonly will need to be accessed via a request directly to the proper authority, </w:t>
            </w:r>
            <w:proofErr w:type="spellStart"/>
            <w:r w:rsidRPr="00076E3D">
              <w:rPr>
                <w:rFonts w:ascii="Calibri" w:eastAsia="Times New Roman" w:hAnsi="Calibri" w:cs="Calibri"/>
                <w:color w:val="000000"/>
                <w:sz w:val="20"/>
                <w:szCs w:val="20"/>
                <w:lang w:val="en-GB"/>
              </w:rPr>
              <w:t>e</w:t>
            </w:r>
            <w:r w:rsidR="00E34DD7">
              <w:rPr>
                <w:rFonts w:ascii="Calibri" w:eastAsia="Times New Roman" w:hAnsi="Calibri" w:cs="Calibri"/>
                <w:color w:val="000000"/>
                <w:sz w:val="20"/>
                <w:szCs w:val="20"/>
                <w:lang w:val="en-GB"/>
              </w:rPr>
              <w:t>g</w:t>
            </w:r>
            <w:proofErr w:type="spellEnd"/>
            <w:r w:rsidRPr="00076E3D">
              <w:rPr>
                <w:rFonts w:ascii="Calibri" w:eastAsia="Times New Roman" w:hAnsi="Calibri" w:cs="Calibri"/>
                <w:color w:val="000000"/>
                <w:sz w:val="20"/>
                <w:szCs w:val="20"/>
                <w:lang w:val="en-GB"/>
              </w:rPr>
              <w:t xml:space="preserve"> regional or local office of the relevant </w:t>
            </w:r>
            <w:r w:rsidR="00E34DD7">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inistry.</w:t>
            </w:r>
          </w:p>
        </w:tc>
        <w:tc>
          <w:tcPr>
            <w:tcW w:w="2160" w:type="dxa"/>
            <w:shd w:val="clear" w:color="auto" w:fill="E7E6E6" w:themeFill="background2"/>
            <w:vAlign w:val="center"/>
          </w:tcPr>
          <w:p w14:paraId="724251D9"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4CE0CE49"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0E57733A" w14:textId="6756A00F" w:rsidTr="00961040">
        <w:trPr>
          <w:trHeight w:val="863"/>
        </w:trPr>
        <w:tc>
          <w:tcPr>
            <w:tcW w:w="787" w:type="dxa"/>
            <w:vMerge/>
            <w:vAlign w:val="center"/>
            <w:hideMark/>
          </w:tcPr>
          <w:p w14:paraId="5ADCF274"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val="restart"/>
            <w:shd w:val="clear" w:color="auto" w:fill="CEF2F3" w:themeFill="accent2"/>
            <w:vAlign w:val="center"/>
            <w:hideMark/>
          </w:tcPr>
          <w:p w14:paraId="694E20BC" w14:textId="472DDDBD"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Policy and </w:t>
            </w:r>
            <w:r w:rsidR="001306AA">
              <w:rPr>
                <w:rFonts w:ascii="Calibri" w:eastAsia="Times New Roman" w:hAnsi="Calibri" w:cs="Calibri"/>
                <w:color w:val="000000"/>
                <w:sz w:val="20"/>
                <w:szCs w:val="20"/>
                <w:lang w:val="en-GB"/>
              </w:rPr>
              <w:t>l</w:t>
            </w:r>
            <w:r w:rsidRPr="00076E3D">
              <w:rPr>
                <w:rFonts w:ascii="Calibri" w:eastAsia="Times New Roman" w:hAnsi="Calibri" w:cs="Calibri"/>
                <w:color w:val="000000"/>
                <w:sz w:val="20"/>
                <w:szCs w:val="20"/>
                <w:lang w:val="en-GB"/>
              </w:rPr>
              <w:t xml:space="preserve">egal </w:t>
            </w:r>
            <w:r w:rsidR="001306AA">
              <w:rPr>
                <w:rFonts w:ascii="Calibri" w:eastAsia="Times New Roman" w:hAnsi="Calibri" w:cs="Calibri"/>
                <w:color w:val="000000"/>
                <w:sz w:val="20"/>
                <w:szCs w:val="20"/>
                <w:lang w:val="en-GB"/>
              </w:rPr>
              <w:t>f</w:t>
            </w:r>
            <w:r w:rsidRPr="00076E3D">
              <w:rPr>
                <w:rFonts w:ascii="Calibri" w:eastAsia="Times New Roman" w:hAnsi="Calibri" w:cs="Calibri"/>
                <w:color w:val="000000"/>
                <w:sz w:val="20"/>
                <w:szCs w:val="20"/>
                <w:lang w:val="en-GB"/>
              </w:rPr>
              <w:t>rameworks</w:t>
            </w:r>
          </w:p>
        </w:tc>
        <w:tc>
          <w:tcPr>
            <w:tcW w:w="1800" w:type="dxa"/>
            <w:shd w:val="clear" w:color="auto" w:fill="CEF2F3" w:themeFill="accent2"/>
            <w:vAlign w:val="center"/>
            <w:hideMark/>
          </w:tcPr>
          <w:p w14:paraId="754AA8E8" w14:textId="3AAE1FCE"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Law on decentrali</w:t>
            </w:r>
            <w:r w:rsidR="001306AA">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ation and/or urban governance</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hideMark/>
          </w:tcPr>
          <w:p w14:paraId="1BAE5DDA" w14:textId="658AF75E"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Secondary sources on legal analysis, especially legal status and rights of displaced popul</w:t>
            </w:r>
            <w:r w:rsidR="003D0216">
              <w:rPr>
                <w:rFonts w:ascii="Calibri" w:eastAsia="Times New Roman" w:hAnsi="Calibri" w:cs="Calibri"/>
                <w:color w:val="000000"/>
                <w:sz w:val="20"/>
                <w:szCs w:val="20"/>
                <w:lang w:val="en-GB"/>
              </w:rPr>
              <w:t>ations (</w:t>
            </w:r>
            <w:proofErr w:type="spellStart"/>
            <w:r w:rsidR="003D0216">
              <w:rPr>
                <w:rFonts w:ascii="Calibri" w:eastAsia="Times New Roman" w:hAnsi="Calibri" w:cs="Calibri"/>
                <w:color w:val="000000"/>
                <w:sz w:val="20"/>
                <w:szCs w:val="20"/>
                <w:lang w:val="en-GB"/>
              </w:rPr>
              <w:t>eg</w:t>
            </w:r>
            <w:proofErr w:type="spellEnd"/>
            <w:r w:rsidR="003D0216">
              <w:rPr>
                <w:rFonts w:ascii="Calibri" w:eastAsia="Times New Roman" w:hAnsi="Calibri" w:cs="Calibri"/>
                <w:color w:val="000000"/>
                <w:sz w:val="20"/>
                <w:szCs w:val="20"/>
                <w:lang w:val="en-GB"/>
              </w:rPr>
              <w:t>. refugees’ right to work</w:t>
            </w:r>
            <w:r w:rsidRPr="00076E3D">
              <w:rPr>
                <w:rFonts w:ascii="Calibri" w:eastAsia="Times New Roman" w:hAnsi="Calibri" w:cs="Calibri"/>
                <w:color w:val="000000"/>
                <w:sz w:val="20"/>
                <w:szCs w:val="20"/>
                <w:lang w:val="en-GB"/>
              </w:rPr>
              <w:t xml:space="preserve">) and </w:t>
            </w:r>
            <w:r w:rsidR="003D0216">
              <w:rPr>
                <w:rFonts w:ascii="Calibri" w:eastAsia="Times New Roman" w:hAnsi="Calibri" w:cs="Calibri"/>
                <w:color w:val="000000"/>
                <w:sz w:val="20"/>
                <w:szCs w:val="20"/>
                <w:lang w:val="en-GB"/>
              </w:rPr>
              <w:t xml:space="preserve">NGOs </w:t>
            </w:r>
            <w:r w:rsidRPr="00076E3D">
              <w:rPr>
                <w:rFonts w:ascii="Calibri" w:eastAsia="Times New Roman" w:hAnsi="Calibri" w:cs="Calibri"/>
                <w:color w:val="000000"/>
                <w:sz w:val="20"/>
                <w:szCs w:val="20"/>
                <w:lang w:val="en-GB"/>
              </w:rPr>
              <w:t>donor disclosure requirements etc.</w:t>
            </w:r>
          </w:p>
          <w:p w14:paraId="7F5149A7" w14:textId="59B37FF6"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National legal code, national legal gazette, parliament information office, other public entity responsible for distributing national legal documents.</w:t>
            </w:r>
          </w:p>
        </w:tc>
        <w:tc>
          <w:tcPr>
            <w:tcW w:w="2160" w:type="dxa"/>
            <w:shd w:val="clear" w:color="auto" w:fill="E7E6E6" w:themeFill="background2"/>
            <w:vAlign w:val="center"/>
            <w:hideMark/>
          </w:tcPr>
          <w:p w14:paraId="6C8390D0" w14:textId="7F92BE59"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01473B9D"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1CDA72FB" w14:textId="24C6B98C" w:rsidTr="00961040">
        <w:trPr>
          <w:trHeight w:val="350"/>
        </w:trPr>
        <w:tc>
          <w:tcPr>
            <w:tcW w:w="787" w:type="dxa"/>
            <w:vMerge/>
            <w:vAlign w:val="center"/>
          </w:tcPr>
          <w:p w14:paraId="43CE7228"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61FE4A76" w14:textId="77777777" w:rsidR="005A2EB5" w:rsidRPr="00076E3D" w:rsidDel="0089004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auto" w:fill="CEF2F3" w:themeFill="accent2"/>
            <w:vAlign w:val="center"/>
          </w:tcPr>
          <w:p w14:paraId="737B7A37" w14:textId="23F7D4C1" w:rsidR="005A2EB5" w:rsidRPr="00076E3D" w:rsidDel="0089004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Policy on service delivery and service access rights (cost and eligibility)</w:t>
            </w:r>
            <w:r w:rsidR="00FC1499">
              <w:rPr>
                <w:rFonts w:ascii="Calibri" w:eastAsia="Times New Roman" w:hAnsi="Calibri" w:cs="Calibri"/>
                <w:color w:val="000000"/>
                <w:sz w:val="20"/>
                <w:szCs w:val="20"/>
                <w:lang w:val="en-GB"/>
              </w:rPr>
              <w:t>.</w:t>
            </w:r>
          </w:p>
        </w:tc>
        <w:tc>
          <w:tcPr>
            <w:tcW w:w="5760" w:type="dxa"/>
            <w:shd w:val="clear" w:color="auto" w:fill="CEF2F3" w:themeFill="accent2"/>
            <w:vAlign w:val="center"/>
          </w:tcPr>
          <w:p w14:paraId="630C78A7" w14:textId="3A90DF51" w:rsidR="005A2EB5" w:rsidRPr="00076E3D" w:rsidRDefault="005A2EB5" w:rsidP="0089004D">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National ministry responsible for service delivery. There may be sector policy documents for specific regions or urban areas.</w:t>
            </w:r>
          </w:p>
        </w:tc>
        <w:tc>
          <w:tcPr>
            <w:tcW w:w="2160" w:type="dxa"/>
            <w:shd w:val="clear" w:color="auto" w:fill="E7E6E6" w:themeFill="background2"/>
            <w:vAlign w:val="center"/>
          </w:tcPr>
          <w:p w14:paraId="707D956D"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76C8FC96"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3F0C7497" w14:textId="178EEBD6" w:rsidTr="00961040">
        <w:trPr>
          <w:trHeight w:val="1728"/>
        </w:trPr>
        <w:tc>
          <w:tcPr>
            <w:tcW w:w="787" w:type="dxa"/>
            <w:vMerge w:val="restart"/>
            <w:shd w:val="clear" w:color="000000" w:fill="FFFFFF"/>
            <w:textDirection w:val="btLr"/>
            <w:vAlign w:val="center"/>
            <w:hideMark/>
          </w:tcPr>
          <w:p w14:paraId="641BC020" w14:textId="104EEE69" w:rsidR="005A2EB5" w:rsidRPr="00076E3D" w:rsidRDefault="005A2EB5" w:rsidP="005A2EB5">
            <w:pPr>
              <w:spacing w:after="0" w:line="240" w:lineRule="auto"/>
              <w:ind w:left="113" w:right="113"/>
              <w:jc w:val="center"/>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Social and cultural</w:t>
            </w:r>
          </w:p>
        </w:tc>
        <w:tc>
          <w:tcPr>
            <w:tcW w:w="1350" w:type="dxa"/>
            <w:tcBorders>
              <w:right w:val="single" w:sz="4" w:space="0" w:color="auto"/>
            </w:tcBorders>
            <w:shd w:val="clear" w:color="000000" w:fill="FFFFFF"/>
            <w:vAlign w:val="center"/>
            <w:hideMark/>
          </w:tcPr>
          <w:p w14:paraId="17A677AD" w14:textId="39845B6A"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Social </w:t>
            </w:r>
            <w:r w:rsidR="001306AA">
              <w:rPr>
                <w:rFonts w:ascii="Calibri" w:eastAsia="Times New Roman" w:hAnsi="Calibri" w:cs="Calibri"/>
                <w:color w:val="000000"/>
                <w:sz w:val="20"/>
                <w:szCs w:val="20"/>
                <w:lang w:val="en-GB"/>
              </w:rPr>
              <w:t>r</w:t>
            </w:r>
            <w:r w:rsidRPr="00076E3D">
              <w:rPr>
                <w:rFonts w:ascii="Calibri" w:eastAsia="Times New Roman" w:hAnsi="Calibri" w:cs="Calibri"/>
                <w:color w:val="000000"/>
                <w:sz w:val="20"/>
                <w:szCs w:val="20"/>
                <w:lang w:val="en-GB"/>
              </w:rPr>
              <w:t xml:space="preserve">elationships and </w:t>
            </w:r>
            <w:r w:rsidR="001306AA">
              <w:rPr>
                <w:rFonts w:ascii="Calibri" w:eastAsia="Times New Roman" w:hAnsi="Calibri" w:cs="Calibri"/>
                <w:color w:val="000000"/>
                <w:sz w:val="20"/>
                <w:szCs w:val="20"/>
                <w:lang w:val="en-GB"/>
              </w:rPr>
              <w:t>c</w:t>
            </w:r>
            <w:r w:rsidRPr="00076E3D">
              <w:rPr>
                <w:rFonts w:ascii="Calibri" w:eastAsia="Times New Roman" w:hAnsi="Calibri" w:cs="Calibri"/>
                <w:color w:val="000000"/>
                <w:sz w:val="20"/>
                <w:szCs w:val="20"/>
                <w:lang w:val="en-GB"/>
              </w:rPr>
              <w:t>ohesion</w:t>
            </w:r>
          </w:p>
        </w:tc>
        <w:tc>
          <w:tcPr>
            <w:tcW w:w="1800" w:type="dxa"/>
            <w:vMerge w:val="restart"/>
            <w:tcBorders>
              <w:top w:val="single" w:sz="4" w:space="0" w:color="auto"/>
              <w:left w:val="single" w:sz="4" w:space="0" w:color="auto"/>
              <w:right w:val="single" w:sz="4" w:space="0" w:color="auto"/>
            </w:tcBorders>
            <w:shd w:val="clear" w:color="000000" w:fill="FFFFFF"/>
            <w:vAlign w:val="center"/>
            <w:hideMark/>
          </w:tcPr>
          <w:p w14:paraId="568A33F5" w14:textId="77777777" w:rsidR="005A2EB5"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Data from other actors on challenges and opportunities</w:t>
            </w:r>
            <w:r w:rsidR="00FC1499">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br/>
            </w:r>
            <w:r w:rsidRPr="00076E3D">
              <w:rPr>
                <w:rFonts w:ascii="Calibri" w:eastAsia="Times New Roman" w:hAnsi="Calibri" w:cs="Calibri"/>
                <w:color w:val="000000"/>
                <w:sz w:val="20"/>
                <w:szCs w:val="20"/>
                <w:lang w:val="en-GB"/>
              </w:rPr>
              <w:br/>
              <w:t xml:space="preserve">Assessments of </w:t>
            </w:r>
            <w:r w:rsidR="001306AA" w:rsidRPr="00E34DD7">
              <w:rPr>
                <w:rFonts w:ascii="Calibri" w:eastAsia="Times New Roman" w:hAnsi="Calibri" w:cs="Calibri"/>
                <w:color w:val="000000"/>
                <w:sz w:val="20"/>
                <w:szCs w:val="20"/>
                <w:lang w:val="en-GB"/>
              </w:rPr>
              <w:t>urban poverty</w:t>
            </w:r>
            <w:r w:rsidR="00FC1499">
              <w:rPr>
                <w:rFonts w:ascii="Calibri" w:eastAsia="Times New Roman" w:hAnsi="Calibri" w:cs="Calibri"/>
                <w:color w:val="000000"/>
                <w:sz w:val="20"/>
                <w:szCs w:val="20"/>
                <w:lang w:val="en-GB"/>
              </w:rPr>
              <w:t>.</w:t>
            </w:r>
          </w:p>
          <w:p w14:paraId="6849D879" w14:textId="0EF81C7E" w:rsidR="00A72221" w:rsidRPr="00A72221" w:rsidRDefault="00A72221" w:rsidP="0015628B">
            <w:pPr>
              <w:spacing w:after="0" w:line="240" w:lineRule="auto"/>
              <w:rPr>
                <w:rFonts w:ascii="Calibri" w:eastAsia="Times New Roman" w:hAnsi="Calibri" w:cs="Calibri"/>
                <w:b/>
                <w:color w:val="000000"/>
                <w:sz w:val="20"/>
                <w:szCs w:val="20"/>
                <w:lang w:val="en-GB"/>
              </w:rPr>
            </w:pPr>
            <w:r w:rsidRPr="00076E3D">
              <w:rPr>
                <w:rFonts w:ascii="Calibri" w:eastAsia="Times New Roman" w:hAnsi="Calibri" w:cs="Calibri"/>
                <w:color w:val="000000"/>
                <w:sz w:val="20"/>
                <w:szCs w:val="20"/>
                <w:lang w:val="en-GB"/>
              </w:rPr>
              <w:lastRenderedPageBreak/>
              <w:t>Data from other actors on challenges and opportunities</w:t>
            </w:r>
          </w:p>
        </w:tc>
        <w:tc>
          <w:tcPr>
            <w:tcW w:w="5760" w:type="dxa"/>
            <w:vMerge w:val="restart"/>
            <w:tcBorders>
              <w:top w:val="single" w:sz="4" w:space="0" w:color="auto"/>
              <w:left w:val="single" w:sz="4" w:space="0" w:color="auto"/>
              <w:right w:val="single" w:sz="4" w:space="0" w:color="auto"/>
            </w:tcBorders>
            <w:shd w:val="clear" w:color="000000" w:fill="FFFFFF"/>
            <w:vAlign w:val="center"/>
            <w:hideMark/>
          </w:tcPr>
          <w:p w14:paraId="05103649" w14:textId="77777777" w:rsidR="005A2EB5" w:rsidRDefault="005A2EB5" w:rsidP="00BC2832">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lastRenderedPageBreak/>
              <w:t xml:space="preserve">International and local stakeholders (UNICEF, USAID, local-NGOs, etc.), </w:t>
            </w:r>
            <w:r w:rsidR="003D0216">
              <w:rPr>
                <w:rFonts w:ascii="Calibri" w:eastAsia="Times New Roman" w:hAnsi="Calibri" w:cs="Calibri"/>
                <w:color w:val="000000"/>
                <w:sz w:val="20"/>
                <w:szCs w:val="20"/>
                <w:lang w:val="en-GB"/>
              </w:rPr>
              <w:t xml:space="preserve">published findings of </w:t>
            </w:r>
            <w:r w:rsidRPr="00076E3D">
              <w:rPr>
                <w:rFonts w:ascii="Calibri" w:eastAsia="Times New Roman" w:hAnsi="Calibri" w:cs="Calibri"/>
                <w:color w:val="000000"/>
                <w:sz w:val="20"/>
                <w:szCs w:val="20"/>
                <w:lang w:val="en-GB"/>
              </w:rPr>
              <w:t>field surveys of specific neighbourhoods, focus group discussions with children and families.</w:t>
            </w:r>
            <w:r w:rsidRPr="00076E3D">
              <w:rPr>
                <w:rFonts w:ascii="Calibri" w:eastAsia="Times New Roman" w:hAnsi="Calibri" w:cs="Calibri"/>
                <w:color w:val="000000"/>
                <w:sz w:val="20"/>
                <w:szCs w:val="20"/>
                <w:lang w:val="en-GB"/>
              </w:rPr>
              <w:br/>
              <w:t>Development stakeholder reports should be available online. Use any contacts to ask for published or unpublished reports or data. Scholarly literature may also be of use, though potentially more difficult to access.</w:t>
            </w:r>
          </w:p>
          <w:p w14:paraId="740295BC" w14:textId="3CDED179" w:rsidR="00A72221" w:rsidRPr="00076E3D" w:rsidRDefault="00A72221" w:rsidP="00936909">
            <w:pPr>
              <w:spacing w:after="0" w:line="240" w:lineRule="auto"/>
              <w:rPr>
                <w:rFonts w:ascii="Calibri" w:eastAsia="Times New Roman" w:hAnsi="Calibri" w:cs="Calibri"/>
                <w:color w:val="000000"/>
                <w:sz w:val="20"/>
                <w:szCs w:val="20"/>
                <w:lang w:val="en-GB"/>
              </w:rPr>
            </w:pPr>
            <w:r>
              <w:rPr>
                <w:rFonts w:ascii="Calibri" w:eastAsia="Times New Roman" w:hAnsi="Calibri" w:cs="Calibri"/>
                <w:color w:val="000000"/>
                <w:sz w:val="20"/>
                <w:szCs w:val="20"/>
                <w:lang w:val="en-GB"/>
              </w:rPr>
              <w:lastRenderedPageBreak/>
              <w:t xml:space="preserve">Secondary sources of information from human rights </w:t>
            </w:r>
            <w:r w:rsidR="00936909">
              <w:rPr>
                <w:rFonts w:ascii="Calibri" w:eastAsia="Times New Roman" w:hAnsi="Calibri" w:cs="Calibri"/>
                <w:color w:val="000000"/>
                <w:sz w:val="20"/>
                <w:szCs w:val="20"/>
                <w:lang w:val="en-GB"/>
              </w:rPr>
              <w:t>organizations</w:t>
            </w:r>
            <w:r>
              <w:rPr>
                <w:rFonts w:ascii="Calibri" w:eastAsia="Times New Roman" w:hAnsi="Calibri" w:cs="Calibri"/>
                <w:color w:val="000000"/>
                <w:sz w:val="20"/>
                <w:szCs w:val="20"/>
                <w:lang w:val="en-GB"/>
              </w:rPr>
              <w:t xml:space="preserve"> e.g. Amnesty International. Other potential sources are UNHCR, INGOs and/or local NGO reports and assessments. </w:t>
            </w:r>
          </w:p>
        </w:tc>
        <w:tc>
          <w:tcPr>
            <w:tcW w:w="216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2375033" w14:textId="3DBDBA90"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tcBorders>
              <w:top w:val="single" w:sz="4" w:space="0" w:color="auto"/>
              <w:left w:val="single" w:sz="4" w:space="0" w:color="auto"/>
              <w:bottom w:val="single" w:sz="4" w:space="0" w:color="auto"/>
              <w:right w:val="single" w:sz="4" w:space="0" w:color="auto"/>
            </w:tcBorders>
            <w:shd w:val="clear" w:color="auto" w:fill="E7E6E6" w:themeFill="background2"/>
          </w:tcPr>
          <w:p w14:paraId="60FA2ACF"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02AD1A4C" w14:textId="78493EA2" w:rsidTr="00961040">
        <w:trPr>
          <w:trHeight w:val="77"/>
        </w:trPr>
        <w:tc>
          <w:tcPr>
            <w:tcW w:w="787" w:type="dxa"/>
            <w:vMerge/>
            <w:vAlign w:val="center"/>
            <w:hideMark/>
          </w:tcPr>
          <w:p w14:paraId="5BE1AA4F" w14:textId="77777777" w:rsidR="005A2EB5" w:rsidRPr="00076E3D" w:rsidRDefault="005A2EB5" w:rsidP="005A2EB5">
            <w:pPr>
              <w:spacing w:after="0" w:line="240" w:lineRule="auto"/>
              <w:jc w:val="center"/>
              <w:rPr>
                <w:rFonts w:ascii="Calibri" w:eastAsia="Times New Roman" w:hAnsi="Calibri" w:cs="Calibri"/>
                <w:color w:val="000000"/>
                <w:sz w:val="20"/>
                <w:szCs w:val="20"/>
                <w:lang w:val="en-GB"/>
              </w:rPr>
            </w:pPr>
          </w:p>
        </w:tc>
        <w:tc>
          <w:tcPr>
            <w:tcW w:w="1350" w:type="dxa"/>
            <w:tcBorders>
              <w:right w:val="single" w:sz="4" w:space="0" w:color="auto"/>
            </w:tcBorders>
            <w:shd w:val="clear" w:color="000000" w:fill="FFFFFF"/>
            <w:vAlign w:val="center"/>
          </w:tcPr>
          <w:p w14:paraId="7B4F7049" w14:textId="25B3C967"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Protection </w:t>
            </w:r>
            <w:r w:rsidR="001306AA">
              <w:rPr>
                <w:rFonts w:ascii="Calibri" w:eastAsia="Times New Roman" w:hAnsi="Calibri" w:cs="Calibri"/>
                <w:color w:val="000000"/>
                <w:sz w:val="20"/>
                <w:szCs w:val="20"/>
                <w:lang w:val="en-GB"/>
              </w:rPr>
              <w:t>r</w:t>
            </w:r>
            <w:r w:rsidRPr="00076E3D">
              <w:rPr>
                <w:rFonts w:ascii="Calibri" w:eastAsia="Times New Roman" w:hAnsi="Calibri" w:cs="Calibri"/>
                <w:color w:val="000000"/>
                <w:sz w:val="20"/>
                <w:szCs w:val="20"/>
                <w:lang w:val="en-GB"/>
              </w:rPr>
              <w:t>isks</w:t>
            </w:r>
          </w:p>
        </w:tc>
        <w:tc>
          <w:tcPr>
            <w:tcW w:w="1800" w:type="dxa"/>
            <w:vMerge/>
            <w:tcBorders>
              <w:left w:val="single" w:sz="4" w:space="0" w:color="auto"/>
              <w:right w:val="single" w:sz="4" w:space="0" w:color="auto"/>
            </w:tcBorders>
            <w:vAlign w:val="center"/>
            <w:hideMark/>
          </w:tcPr>
          <w:p w14:paraId="3193ADB0"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5760" w:type="dxa"/>
            <w:vMerge/>
            <w:tcBorders>
              <w:left w:val="single" w:sz="4" w:space="0" w:color="auto"/>
              <w:right w:val="single" w:sz="4" w:space="0" w:color="auto"/>
            </w:tcBorders>
            <w:vAlign w:val="center"/>
            <w:hideMark/>
          </w:tcPr>
          <w:p w14:paraId="097AF482"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160" w:type="dxa"/>
            <w:tcBorders>
              <w:top w:val="nil"/>
              <w:left w:val="single" w:sz="4" w:space="0" w:color="auto"/>
              <w:right w:val="single" w:sz="4" w:space="0" w:color="auto"/>
            </w:tcBorders>
            <w:shd w:val="clear" w:color="auto" w:fill="E7E6E6" w:themeFill="background2"/>
            <w:vAlign w:val="center"/>
            <w:hideMark/>
          </w:tcPr>
          <w:p w14:paraId="4D02E236"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tcBorders>
              <w:top w:val="nil"/>
              <w:left w:val="single" w:sz="4" w:space="0" w:color="auto"/>
              <w:right w:val="single" w:sz="4" w:space="0" w:color="auto"/>
            </w:tcBorders>
            <w:shd w:val="clear" w:color="auto" w:fill="E7E6E6" w:themeFill="background2"/>
          </w:tcPr>
          <w:p w14:paraId="2CF4BB39"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F46CC7" w:rsidRPr="00E34DD7" w14:paraId="023284E7" w14:textId="43BF429D" w:rsidTr="00961040">
        <w:trPr>
          <w:cantSplit/>
          <w:trHeight w:val="1232"/>
        </w:trPr>
        <w:tc>
          <w:tcPr>
            <w:tcW w:w="787" w:type="dxa"/>
            <w:shd w:val="clear" w:color="000000" w:fill="FFFFFF"/>
            <w:textDirection w:val="btLr"/>
            <w:vAlign w:val="center"/>
            <w:hideMark/>
          </w:tcPr>
          <w:p w14:paraId="7BB57667" w14:textId="21DE685E" w:rsidR="005A2EB5" w:rsidRPr="00076E3D" w:rsidRDefault="005A2EB5" w:rsidP="005A2EB5">
            <w:pPr>
              <w:spacing w:after="0" w:line="240" w:lineRule="auto"/>
              <w:ind w:left="113" w:right="113"/>
              <w:jc w:val="center"/>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Economic</w:t>
            </w:r>
          </w:p>
        </w:tc>
        <w:tc>
          <w:tcPr>
            <w:tcW w:w="1350" w:type="dxa"/>
            <w:shd w:val="clear" w:color="000000" w:fill="FFFFFF"/>
            <w:vAlign w:val="center"/>
            <w:hideMark/>
          </w:tcPr>
          <w:p w14:paraId="33A73215" w14:textId="7A289723"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Jobs and </w:t>
            </w:r>
            <w:r w:rsidR="00B5409E">
              <w:rPr>
                <w:rFonts w:ascii="Calibri" w:eastAsia="Times New Roman" w:hAnsi="Calibri" w:cs="Calibri"/>
                <w:color w:val="000000"/>
                <w:sz w:val="20"/>
                <w:szCs w:val="20"/>
                <w:lang w:val="en-GB"/>
              </w:rPr>
              <w:t>c</w:t>
            </w:r>
            <w:r w:rsidRPr="00076E3D">
              <w:rPr>
                <w:rFonts w:ascii="Calibri" w:eastAsia="Times New Roman" w:hAnsi="Calibri" w:cs="Calibri"/>
                <w:color w:val="000000"/>
                <w:sz w:val="20"/>
                <w:szCs w:val="20"/>
                <w:lang w:val="en-GB"/>
              </w:rPr>
              <w:t xml:space="preserve">haracteristics of </w:t>
            </w:r>
            <w:r w:rsidR="00D14C99">
              <w:rPr>
                <w:rFonts w:ascii="Calibri" w:eastAsia="Times New Roman" w:hAnsi="Calibri" w:cs="Calibri"/>
                <w:color w:val="000000"/>
                <w:sz w:val="20"/>
                <w:szCs w:val="20"/>
                <w:lang w:val="en-GB"/>
              </w:rPr>
              <w:t>l</w:t>
            </w:r>
            <w:r w:rsidRPr="00076E3D">
              <w:rPr>
                <w:rFonts w:ascii="Calibri" w:eastAsia="Times New Roman" w:hAnsi="Calibri" w:cs="Calibri"/>
                <w:color w:val="000000"/>
                <w:sz w:val="20"/>
                <w:szCs w:val="20"/>
                <w:lang w:val="en-GB"/>
              </w:rPr>
              <w:t xml:space="preserve">abour </w:t>
            </w:r>
            <w:r w:rsidR="00D14C99">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arket</w:t>
            </w:r>
          </w:p>
          <w:p w14:paraId="7B8C4586" w14:textId="76A7A038"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800" w:type="dxa"/>
            <w:shd w:val="clear" w:color="000000" w:fill="FFFFFF"/>
            <w:vAlign w:val="center"/>
            <w:hideMark/>
          </w:tcPr>
          <w:p w14:paraId="378BFCAB" w14:textId="7616DD1E"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Data from other actors on challenges and opportunities</w:t>
            </w:r>
            <w:r w:rsidR="00FC1499">
              <w:rPr>
                <w:rFonts w:ascii="Calibri" w:eastAsia="Times New Roman" w:hAnsi="Calibri" w:cs="Calibri"/>
                <w:color w:val="000000"/>
                <w:sz w:val="20"/>
                <w:szCs w:val="20"/>
                <w:lang w:val="en-GB"/>
              </w:rPr>
              <w:t>.</w:t>
            </w:r>
          </w:p>
          <w:p w14:paraId="28A91972"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p w14:paraId="4F542C7A" w14:textId="7E289631"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Assessments of private sector actors</w:t>
            </w:r>
            <w:r w:rsidR="00FC1499">
              <w:rPr>
                <w:rFonts w:ascii="Calibri" w:eastAsia="Times New Roman" w:hAnsi="Calibri" w:cs="Calibri"/>
                <w:color w:val="000000"/>
                <w:sz w:val="20"/>
                <w:szCs w:val="20"/>
                <w:lang w:val="en-GB"/>
              </w:rPr>
              <w:t>.</w:t>
            </w:r>
          </w:p>
        </w:tc>
        <w:tc>
          <w:tcPr>
            <w:tcW w:w="5760" w:type="dxa"/>
            <w:shd w:val="clear" w:color="000000" w:fill="FFFFFF"/>
            <w:vAlign w:val="center"/>
            <w:hideMark/>
          </w:tcPr>
          <w:p w14:paraId="4EE386FA" w14:textId="77777777" w:rsidR="005A2EB5" w:rsidRPr="00076E3D" w:rsidRDefault="005A2EB5" w:rsidP="003F653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Sources include international development stakeholders, local/national gov. economic development officials and local and national chambers of commerce. </w:t>
            </w:r>
          </w:p>
          <w:p w14:paraId="6B3B1577" w14:textId="023B21B7" w:rsidR="005A2EB5" w:rsidRPr="00076E3D" w:rsidRDefault="005A2EB5" w:rsidP="003F653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Some general assessments of the private sector environment may be available online (such as the World Bank’s </w:t>
            </w:r>
            <w:r w:rsidR="00B5409E">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Doing Business</w:t>
            </w:r>
            <w:r w:rsidR="00B5409E">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 xml:space="preserve"> </w:t>
            </w:r>
            <w:r w:rsidR="00B5409E">
              <w:rPr>
                <w:rFonts w:ascii="Calibri" w:eastAsia="Times New Roman" w:hAnsi="Calibri" w:cs="Calibri"/>
                <w:color w:val="000000"/>
                <w:sz w:val="20"/>
                <w:szCs w:val="20"/>
                <w:lang w:val="en-GB"/>
              </w:rPr>
              <w:t>i</w:t>
            </w:r>
            <w:r w:rsidRPr="00076E3D">
              <w:rPr>
                <w:rFonts w:ascii="Calibri" w:eastAsia="Times New Roman" w:hAnsi="Calibri" w:cs="Calibri"/>
                <w:color w:val="000000"/>
                <w:sz w:val="20"/>
                <w:szCs w:val="20"/>
                <w:lang w:val="en-GB"/>
              </w:rPr>
              <w:t>ndicator set). Most narrative reports and quantitative assessments of the strength of the private sector are likely to require direct requests to development partners or government officials. Major donor program</w:t>
            </w:r>
            <w:r w:rsidR="00D14C99">
              <w:rPr>
                <w:rFonts w:ascii="Calibri" w:eastAsia="Times New Roman" w:hAnsi="Calibri" w:cs="Calibri"/>
                <w:color w:val="000000"/>
                <w:sz w:val="20"/>
                <w:szCs w:val="20"/>
                <w:lang w:val="en-GB"/>
              </w:rPr>
              <w:t>me</w:t>
            </w:r>
            <w:r w:rsidRPr="00076E3D">
              <w:rPr>
                <w:rFonts w:ascii="Calibri" w:eastAsia="Times New Roman" w:hAnsi="Calibri" w:cs="Calibri"/>
                <w:color w:val="000000"/>
                <w:sz w:val="20"/>
                <w:szCs w:val="20"/>
                <w:lang w:val="en-GB"/>
              </w:rPr>
              <w:t>s focusing on economic development may have useful assessments available from pre-implementation baseline studies.</w:t>
            </w:r>
          </w:p>
        </w:tc>
        <w:tc>
          <w:tcPr>
            <w:tcW w:w="2160" w:type="dxa"/>
            <w:shd w:val="clear" w:color="auto" w:fill="E7E6E6" w:themeFill="background2"/>
            <w:vAlign w:val="center"/>
            <w:hideMark/>
          </w:tcPr>
          <w:p w14:paraId="54B36B91" w14:textId="65948CBD"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2250" w:type="dxa"/>
            <w:shd w:val="clear" w:color="auto" w:fill="E7E6E6" w:themeFill="background2"/>
          </w:tcPr>
          <w:p w14:paraId="1B6B50C3"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r>
      <w:tr w:rsidR="005A2EB5" w:rsidRPr="00E34DD7" w14:paraId="7C722172" w14:textId="7F060681" w:rsidTr="00961040">
        <w:trPr>
          <w:trHeight w:val="77"/>
        </w:trPr>
        <w:tc>
          <w:tcPr>
            <w:tcW w:w="787" w:type="dxa"/>
            <w:vMerge w:val="restart"/>
            <w:shd w:val="clear" w:color="auto" w:fill="CEF2F3" w:themeFill="accent2"/>
            <w:textDirection w:val="btLr"/>
            <w:vAlign w:val="center"/>
          </w:tcPr>
          <w:p w14:paraId="05596886" w14:textId="725149E3" w:rsidR="005A2EB5" w:rsidRPr="00076E3D" w:rsidRDefault="005A2EB5">
            <w:pPr>
              <w:spacing w:after="0" w:line="240" w:lineRule="auto"/>
              <w:ind w:left="113" w:right="113"/>
              <w:jc w:val="center"/>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Service </w:t>
            </w:r>
            <w:r w:rsidR="00D14C99">
              <w:rPr>
                <w:rFonts w:ascii="Calibri" w:eastAsia="Times New Roman" w:hAnsi="Calibri" w:cs="Calibri"/>
                <w:color w:val="000000"/>
                <w:sz w:val="20"/>
                <w:szCs w:val="20"/>
                <w:lang w:val="en-GB"/>
              </w:rPr>
              <w:t>d</w:t>
            </w:r>
            <w:r w:rsidRPr="00076E3D">
              <w:rPr>
                <w:rFonts w:ascii="Calibri" w:eastAsia="Times New Roman" w:hAnsi="Calibri" w:cs="Calibri"/>
                <w:color w:val="000000"/>
                <w:sz w:val="20"/>
                <w:szCs w:val="20"/>
                <w:lang w:val="en-GB"/>
              </w:rPr>
              <w:t xml:space="preserve">elivery and </w:t>
            </w:r>
            <w:r w:rsidR="00D14C99">
              <w:rPr>
                <w:rFonts w:ascii="Calibri" w:eastAsia="Times New Roman" w:hAnsi="Calibri" w:cs="Calibri"/>
                <w:color w:val="000000"/>
                <w:sz w:val="20"/>
                <w:szCs w:val="20"/>
                <w:lang w:val="en-GB"/>
              </w:rPr>
              <w:t>i</w:t>
            </w:r>
            <w:r w:rsidR="00D14C99" w:rsidRPr="00076E3D">
              <w:rPr>
                <w:rFonts w:ascii="Calibri" w:eastAsia="Times New Roman" w:hAnsi="Calibri" w:cs="Calibri"/>
                <w:color w:val="000000"/>
                <w:sz w:val="20"/>
                <w:szCs w:val="20"/>
                <w:lang w:val="en-GB"/>
              </w:rPr>
              <w:t>nfrastructure</w:t>
            </w:r>
          </w:p>
        </w:tc>
        <w:tc>
          <w:tcPr>
            <w:tcW w:w="1350" w:type="dxa"/>
            <w:shd w:val="clear" w:color="auto" w:fill="CEF2F3" w:themeFill="accent2"/>
            <w:vAlign w:val="center"/>
          </w:tcPr>
          <w:p w14:paraId="520B9207" w14:textId="2CF84B6E" w:rsidR="005A2EB5" w:rsidRPr="00076E3D" w:rsidRDefault="005A2EB5" w:rsidP="0015628B">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Demand and </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 xml:space="preserve">upply of </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ervices</w:t>
            </w:r>
          </w:p>
        </w:tc>
        <w:tc>
          <w:tcPr>
            <w:tcW w:w="1800" w:type="dxa"/>
            <w:tcBorders>
              <w:top w:val="single" w:sz="4" w:space="0" w:color="auto"/>
            </w:tcBorders>
            <w:shd w:val="clear" w:color="auto" w:fill="CEF2F3" w:themeFill="accent2"/>
            <w:vAlign w:val="center"/>
          </w:tcPr>
          <w:p w14:paraId="4ED883BF" w14:textId="5D8CD086"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Budget documents and expenditure reports</w:t>
            </w:r>
            <w:r w:rsidR="00FC1499">
              <w:rPr>
                <w:rFonts w:ascii="Calibri" w:eastAsia="Times New Roman" w:hAnsi="Calibri" w:cs="Calibri"/>
                <w:color w:val="000000"/>
                <w:sz w:val="20"/>
                <w:szCs w:val="20"/>
                <w:lang w:val="en-GB"/>
              </w:rPr>
              <w:t>.</w:t>
            </w:r>
          </w:p>
          <w:p w14:paraId="1E8D55D9"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p w14:paraId="56149C3F" w14:textId="09DC253A"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Investment plans</w:t>
            </w:r>
            <w:r w:rsidR="00FC1499">
              <w:rPr>
                <w:rFonts w:ascii="Calibri" w:eastAsia="Times New Roman" w:hAnsi="Calibri" w:cs="Calibri"/>
                <w:color w:val="000000"/>
                <w:sz w:val="20"/>
                <w:szCs w:val="20"/>
                <w:lang w:val="en-GB"/>
              </w:rPr>
              <w:t>.</w:t>
            </w:r>
            <w:r w:rsidRPr="00076E3D" w:rsidDel="00D15653">
              <w:rPr>
                <w:rFonts w:ascii="Calibri" w:eastAsia="Times New Roman" w:hAnsi="Calibri" w:cs="Calibri"/>
                <w:color w:val="000000"/>
                <w:sz w:val="20"/>
                <w:szCs w:val="20"/>
                <w:lang w:val="en-GB"/>
              </w:rPr>
              <w:t xml:space="preserve"> </w:t>
            </w:r>
          </w:p>
          <w:p w14:paraId="6FBAFED1" w14:textId="77777777" w:rsidR="00157C4C" w:rsidRPr="00076E3D" w:rsidRDefault="00157C4C" w:rsidP="0015628B">
            <w:pPr>
              <w:spacing w:after="0" w:line="240" w:lineRule="auto"/>
              <w:rPr>
                <w:rFonts w:ascii="Calibri" w:eastAsia="Times New Roman" w:hAnsi="Calibri" w:cs="Calibri"/>
                <w:color w:val="000000"/>
                <w:sz w:val="20"/>
                <w:szCs w:val="20"/>
                <w:lang w:val="en-GB"/>
              </w:rPr>
            </w:pPr>
          </w:p>
          <w:p w14:paraId="20EDFCF9" w14:textId="4C7A45FF" w:rsidR="00157C4C" w:rsidRPr="00076E3D" w:rsidRDefault="00157C4C"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International reports</w:t>
            </w:r>
            <w:r w:rsidR="00FC1499">
              <w:rPr>
                <w:rFonts w:ascii="Calibri" w:eastAsia="Times New Roman" w:hAnsi="Calibri" w:cs="Calibri"/>
                <w:color w:val="000000"/>
                <w:sz w:val="20"/>
                <w:szCs w:val="20"/>
                <w:lang w:val="en-GB"/>
              </w:rPr>
              <w:t>.</w:t>
            </w:r>
          </w:p>
        </w:tc>
        <w:tc>
          <w:tcPr>
            <w:tcW w:w="5760" w:type="dxa"/>
            <w:tcBorders>
              <w:top w:val="single" w:sz="4" w:space="0" w:color="auto"/>
            </w:tcBorders>
            <w:shd w:val="clear" w:color="auto" w:fill="CEF2F3" w:themeFill="accent2"/>
            <w:vAlign w:val="center"/>
          </w:tcPr>
          <w:p w14:paraId="691F3377" w14:textId="4A169E6F" w:rsidR="005A2EB5" w:rsidRPr="00076E3D" w:rsidRDefault="005A2EB5" w:rsidP="00D156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National budgets: </w:t>
            </w:r>
            <w:r w:rsidR="00D14C99" w:rsidRPr="00E34DD7">
              <w:rPr>
                <w:rFonts w:ascii="Calibri" w:eastAsia="Times New Roman" w:hAnsi="Calibri" w:cs="Calibri"/>
                <w:color w:val="000000"/>
                <w:sz w:val="20"/>
                <w:szCs w:val="20"/>
                <w:lang w:val="en-GB"/>
              </w:rPr>
              <w:t xml:space="preserve">ministry of finance or the parliamentary budget office </w:t>
            </w:r>
            <w:r w:rsidRPr="00076E3D">
              <w:rPr>
                <w:rFonts w:ascii="Calibri" w:eastAsia="Times New Roman" w:hAnsi="Calibri" w:cs="Calibri"/>
                <w:color w:val="000000"/>
                <w:sz w:val="20"/>
                <w:szCs w:val="20"/>
                <w:lang w:val="en-GB"/>
              </w:rPr>
              <w:t>(or equivalent).</w:t>
            </w:r>
          </w:p>
          <w:p w14:paraId="6D065084" w14:textId="4C7289A3" w:rsidR="005A2EB5" w:rsidRPr="00076E3D" w:rsidRDefault="005A2EB5" w:rsidP="00D156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For service sectors: national </w:t>
            </w:r>
            <w:r w:rsidR="00D14C99">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 xml:space="preserve">inistry offices of finance. </w:t>
            </w:r>
          </w:p>
          <w:p w14:paraId="264BD490" w14:textId="77777777" w:rsidR="005A2EB5" w:rsidRPr="00076E3D" w:rsidRDefault="005A2EB5" w:rsidP="00D156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Budget and expenditure data at subnational level: urban local gov. finance officers.</w:t>
            </w:r>
          </w:p>
          <w:p w14:paraId="650E9B8B" w14:textId="6117016A"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In some cases, available online via public notice boards (at local level). In many cases, users may need to visit local or national officials to request data directly. In these instances, bring a flash drive and try to leave with the data directly, rather than receiving a promise to have the data emailed. Users may find it helpful to partner with other donors (</w:t>
            </w:r>
            <w:r w:rsidR="00157C4C" w:rsidRPr="00076E3D">
              <w:rPr>
                <w:rFonts w:ascii="Calibri" w:eastAsia="Times New Roman" w:hAnsi="Calibri" w:cs="Calibri"/>
                <w:color w:val="000000"/>
                <w:sz w:val="20"/>
                <w:szCs w:val="20"/>
                <w:lang w:val="en-GB"/>
              </w:rPr>
              <w:t>UN</w:t>
            </w:r>
            <w:r w:rsidR="00D14C99">
              <w:rPr>
                <w:rFonts w:ascii="Calibri" w:eastAsia="Times New Roman" w:hAnsi="Calibri" w:cs="Calibri"/>
                <w:color w:val="000000"/>
                <w:sz w:val="20"/>
                <w:szCs w:val="20"/>
                <w:lang w:val="en-GB"/>
              </w:rPr>
              <w:t>-</w:t>
            </w:r>
            <w:r w:rsidR="00D14C99" w:rsidRPr="00076E3D">
              <w:rPr>
                <w:rFonts w:ascii="Calibri" w:eastAsia="Times New Roman" w:hAnsi="Calibri" w:cs="Calibri"/>
                <w:color w:val="000000"/>
                <w:sz w:val="20"/>
                <w:szCs w:val="20"/>
                <w:lang w:val="en-GB"/>
              </w:rPr>
              <w:t>H</w:t>
            </w:r>
            <w:r w:rsidR="00D14C99">
              <w:rPr>
                <w:rFonts w:ascii="Calibri" w:eastAsia="Times New Roman" w:hAnsi="Calibri" w:cs="Calibri"/>
                <w:color w:val="000000"/>
                <w:sz w:val="20"/>
                <w:szCs w:val="20"/>
                <w:lang w:val="en-GB"/>
              </w:rPr>
              <w:t>abitat</w:t>
            </w:r>
            <w:r w:rsidR="00157C4C" w:rsidRPr="00076E3D">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World Bank, USAID, etc.) to retrieve budget data if it is difficult to obtain directly.</w:t>
            </w:r>
          </w:p>
        </w:tc>
        <w:tc>
          <w:tcPr>
            <w:tcW w:w="2160" w:type="dxa"/>
            <w:shd w:val="clear" w:color="auto" w:fill="E7E6E6" w:themeFill="background2"/>
            <w:vAlign w:val="center"/>
          </w:tcPr>
          <w:p w14:paraId="2647ACCF"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25346F83"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23902925" w14:textId="67A6B6C0" w:rsidTr="00961040">
        <w:trPr>
          <w:trHeight w:val="77"/>
        </w:trPr>
        <w:tc>
          <w:tcPr>
            <w:tcW w:w="787" w:type="dxa"/>
            <w:vMerge/>
            <w:shd w:val="clear" w:color="000000" w:fill="DCD6ED"/>
            <w:vAlign w:val="center"/>
          </w:tcPr>
          <w:p w14:paraId="3B68445D" w14:textId="63430E6D"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val="restart"/>
            <w:shd w:val="clear" w:color="auto" w:fill="CEF2F3" w:themeFill="accent2"/>
            <w:vAlign w:val="center"/>
          </w:tcPr>
          <w:p w14:paraId="2A136D24" w14:textId="4A9E191F" w:rsidR="005A2EB5" w:rsidRPr="00076E3D" w:rsidRDefault="005A2EB5" w:rsidP="0015628B">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Coordination of </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ervices</w:t>
            </w:r>
          </w:p>
        </w:tc>
        <w:tc>
          <w:tcPr>
            <w:tcW w:w="1800" w:type="dxa"/>
            <w:tcBorders>
              <w:top w:val="single" w:sz="4" w:space="0" w:color="auto"/>
            </w:tcBorders>
            <w:shd w:val="clear" w:color="auto" w:fill="CEF2F3" w:themeFill="accent2"/>
            <w:vAlign w:val="center"/>
          </w:tcPr>
          <w:p w14:paraId="464ED140" w14:textId="224BAEB6"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Service provision/ services providers</w:t>
            </w:r>
            <w:r w:rsidR="00FC1499">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 xml:space="preserve"> </w:t>
            </w:r>
          </w:p>
        </w:tc>
        <w:tc>
          <w:tcPr>
            <w:tcW w:w="5760" w:type="dxa"/>
            <w:tcBorders>
              <w:top w:val="single" w:sz="4" w:space="0" w:color="auto"/>
            </w:tcBorders>
            <w:shd w:val="clear" w:color="auto" w:fill="CEF2F3" w:themeFill="accent2"/>
            <w:vAlign w:val="center"/>
          </w:tcPr>
          <w:p w14:paraId="58BE4F8D" w14:textId="2E369D65"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Government or UN agencies (</w:t>
            </w:r>
            <w:proofErr w:type="spellStart"/>
            <w:r w:rsidRPr="00076E3D">
              <w:rPr>
                <w:rFonts w:ascii="Calibri" w:eastAsia="Times New Roman" w:hAnsi="Calibri" w:cs="Calibri"/>
                <w:color w:val="000000"/>
                <w:sz w:val="20"/>
                <w:szCs w:val="20"/>
                <w:lang w:val="en-GB"/>
              </w:rPr>
              <w:t>e</w:t>
            </w:r>
            <w:r w:rsidR="00D14C99">
              <w:rPr>
                <w:rFonts w:ascii="Calibri" w:eastAsia="Times New Roman" w:hAnsi="Calibri" w:cs="Calibri"/>
                <w:color w:val="000000"/>
                <w:sz w:val="20"/>
                <w:szCs w:val="20"/>
                <w:lang w:val="en-GB"/>
              </w:rPr>
              <w:t>g</w:t>
            </w:r>
            <w:proofErr w:type="spellEnd"/>
            <w:r w:rsidRPr="00076E3D">
              <w:rPr>
                <w:rFonts w:ascii="Calibri" w:eastAsia="Times New Roman" w:hAnsi="Calibri" w:cs="Calibri"/>
                <w:color w:val="000000"/>
                <w:sz w:val="20"/>
                <w:szCs w:val="20"/>
                <w:lang w:val="en-GB"/>
              </w:rPr>
              <w:t xml:space="preserve"> municipal or city planning authorities; OCHA), NGOs, </w:t>
            </w:r>
            <w:hyperlink r:id="rId9" w:history="1">
              <w:proofErr w:type="spellStart"/>
              <w:r w:rsidRPr="00076E3D">
                <w:rPr>
                  <w:rStyle w:val="Hyperlink"/>
                  <w:rFonts w:ascii="Calibri" w:eastAsia="Times New Roman" w:hAnsi="Calibri" w:cs="Calibri"/>
                  <w:sz w:val="20"/>
                  <w:szCs w:val="20"/>
                  <w:lang w:val="en-GB"/>
                </w:rPr>
                <w:t>OpenStreetMap</w:t>
              </w:r>
              <w:proofErr w:type="spellEnd"/>
            </w:hyperlink>
            <w:r w:rsidRPr="00076E3D">
              <w:rPr>
                <w:rFonts w:ascii="Calibri" w:eastAsia="Times New Roman" w:hAnsi="Calibri" w:cs="Calibri"/>
                <w:color w:val="000000"/>
                <w:sz w:val="20"/>
                <w:szCs w:val="20"/>
                <w:lang w:val="en-GB"/>
              </w:rPr>
              <w:t xml:space="preserve">, </w:t>
            </w:r>
            <w:hyperlink r:id="rId10" w:history="1">
              <w:r w:rsidRPr="00076E3D">
                <w:rPr>
                  <w:rStyle w:val="Hyperlink"/>
                  <w:rFonts w:ascii="Calibri" w:eastAsia="Times New Roman" w:hAnsi="Calibri" w:cs="Calibri"/>
                  <w:sz w:val="20"/>
                  <w:szCs w:val="20"/>
                  <w:lang w:val="en-GB"/>
                </w:rPr>
                <w:t>Humanitarian Data Exchange (HDX)</w:t>
              </w:r>
            </w:hyperlink>
            <w:r w:rsidRPr="00076E3D">
              <w:rPr>
                <w:rFonts w:ascii="Calibri" w:eastAsia="Times New Roman" w:hAnsi="Calibri" w:cs="Calibri"/>
                <w:color w:val="000000"/>
                <w:sz w:val="20"/>
                <w:szCs w:val="20"/>
                <w:lang w:val="en-GB"/>
              </w:rPr>
              <w:t xml:space="preserve">, National Bureaus of Statistics, </w:t>
            </w:r>
            <w:r w:rsidR="00D14C99" w:rsidRPr="00E34DD7">
              <w:rPr>
                <w:rFonts w:ascii="Calibri" w:eastAsia="Times New Roman" w:hAnsi="Calibri" w:cs="Calibri"/>
                <w:color w:val="000000"/>
                <w:sz w:val="20"/>
                <w:szCs w:val="20"/>
                <w:lang w:val="en-GB"/>
              </w:rPr>
              <w:t>national mapping agencies.</w:t>
            </w:r>
          </w:p>
        </w:tc>
        <w:tc>
          <w:tcPr>
            <w:tcW w:w="2160" w:type="dxa"/>
            <w:shd w:val="clear" w:color="auto" w:fill="E7E6E6" w:themeFill="background2"/>
            <w:vAlign w:val="center"/>
          </w:tcPr>
          <w:p w14:paraId="17FEC31F"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01BDCC81"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538394F7" w14:textId="695B21CA" w:rsidTr="00961040">
        <w:trPr>
          <w:trHeight w:val="77"/>
        </w:trPr>
        <w:tc>
          <w:tcPr>
            <w:tcW w:w="787" w:type="dxa"/>
            <w:vMerge/>
            <w:shd w:val="clear" w:color="000000" w:fill="DCD6ED"/>
            <w:vAlign w:val="center"/>
          </w:tcPr>
          <w:p w14:paraId="4A019488" w14:textId="77777777" w:rsidR="005A2EB5" w:rsidRPr="00076E3D" w:rsidRDefault="005A2EB5" w:rsidP="0015628B">
            <w:pPr>
              <w:spacing w:after="0" w:line="240" w:lineRule="auto"/>
              <w:rPr>
                <w:rFonts w:ascii="Calibri" w:eastAsia="Times New Roman" w:hAnsi="Calibri" w:cs="Calibri"/>
                <w:color w:val="000000"/>
                <w:sz w:val="20"/>
                <w:szCs w:val="20"/>
                <w:lang w:val="en-GB"/>
              </w:rPr>
            </w:pPr>
          </w:p>
        </w:tc>
        <w:tc>
          <w:tcPr>
            <w:tcW w:w="1350" w:type="dxa"/>
            <w:vMerge/>
            <w:shd w:val="clear" w:color="auto" w:fill="CEF2F3" w:themeFill="accent2"/>
            <w:vAlign w:val="center"/>
          </w:tcPr>
          <w:p w14:paraId="39AC0C35" w14:textId="77777777" w:rsidR="005A2EB5" w:rsidRPr="00076E3D" w:rsidRDefault="005A2EB5" w:rsidP="004626ED">
            <w:pPr>
              <w:spacing w:after="0" w:line="240" w:lineRule="auto"/>
              <w:rPr>
                <w:rFonts w:ascii="Calibri" w:eastAsia="Times New Roman" w:hAnsi="Calibri" w:cs="Calibri"/>
                <w:color w:val="000000"/>
                <w:sz w:val="20"/>
                <w:szCs w:val="20"/>
                <w:lang w:val="en-GB"/>
              </w:rPr>
            </w:pPr>
          </w:p>
        </w:tc>
        <w:tc>
          <w:tcPr>
            <w:tcW w:w="1800" w:type="dxa"/>
            <w:tcBorders>
              <w:top w:val="single" w:sz="4" w:space="0" w:color="auto"/>
            </w:tcBorders>
            <w:shd w:val="clear" w:color="auto" w:fill="CEF2F3" w:themeFill="accent2"/>
            <w:vAlign w:val="center"/>
          </w:tcPr>
          <w:p w14:paraId="185D2F30" w14:textId="0040EB16"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Policy on </w:t>
            </w:r>
            <w:r w:rsidRPr="00076E3D">
              <w:rPr>
                <w:rFonts w:ascii="Calibri" w:eastAsia="Times New Roman" w:hAnsi="Calibri" w:cs="Calibri"/>
                <w:color w:val="000000"/>
                <w:sz w:val="20"/>
                <w:szCs w:val="20"/>
                <w:lang w:val="en-GB"/>
              </w:rPr>
              <w:lastRenderedPageBreak/>
              <w:t>decentrali</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ation</w:t>
            </w:r>
            <w:r w:rsidR="00FC1499">
              <w:rPr>
                <w:rFonts w:ascii="Calibri" w:eastAsia="Times New Roman" w:hAnsi="Calibri" w:cs="Calibri"/>
                <w:color w:val="000000"/>
                <w:sz w:val="20"/>
                <w:szCs w:val="20"/>
                <w:lang w:val="en-GB"/>
              </w:rPr>
              <w:t>.</w:t>
            </w:r>
          </w:p>
        </w:tc>
        <w:tc>
          <w:tcPr>
            <w:tcW w:w="5760" w:type="dxa"/>
            <w:tcBorders>
              <w:top w:val="single" w:sz="4" w:space="0" w:color="auto"/>
            </w:tcBorders>
            <w:shd w:val="clear" w:color="auto" w:fill="CEF2F3" w:themeFill="accent2"/>
            <w:vAlign w:val="center"/>
          </w:tcPr>
          <w:p w14:paraId="49E8076C" w14:textId="558751BB"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lastRenderedPageBreak/>
              <w:t>National ministry responsible for decentrali</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 xml:space="preserve">ation if one exists, </w:t>
            </w:r>
            <w:r w:rsidRPr="00076E3D">
              <w:rPr>
                <w:rFonts w:ascii="Calibri" w:eastAsia="Times New Roman" w:hAnsi="Calibri" w:cs="Calibri"/>
                <w:color w:val="000000"/>
                <w:sz w:val="20"/>
                <w:szCs w:val="20"/>
                <w:lang w:val="en-GB"/>
              </w:rPr>
              <w:lastRenderedPageBreak/>
              <w:t>otherwise potentially national ministries for planning, development, finance, or urban affairs.</w:t>
            </w:r>
          </w:p>
        </w:tc>
        <w:tc>
          <w:tcPr>
            <w:tcW w:w="2160" w:type="dxa"/>
            <w:shd w:val="clear" w:color="auto" w:fill="E7E6E6" w:themeFill="background2"/>
            <w:vAlign w:val="center"/>
          </w:tcPr>
          <w:p w14:paraId="6571A2E8"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682C33AD"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15BC749F" w14:textId="02C756E8" w:rsidTr="00961040">
        <w:trPr>
          <w:trHeight w:val="77"/>
        </w:trPr>
        <w:tc>
          <w:tcPr>
            <w:tcW w:w="787" w:type="dxa"/>
            <w:vMerge w:val="restart"/>
            <w:textDirection w:val="btLr"/>
            <w:vAlign w:val="center"/>
          </w:tcPr>
          <w:p w14:paraId="228A0CE5" w14:textId="43574941" w:rsidR="005A2EB5" w:rsidRPr="00076E3D" w:rsidRDefault="005A2EB5" w:rsidP="005A2EB5">
            <w:pPr>
              <w:spacing w:after="0" w:line="240" w:lineRule="auto"/>
              <w:ind w:left="113" w:right="113"/>
              <w:jc w:val="center"/>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Space and </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ettlements</w:t>
            </w:r>
          </w:p>
        </w:tc>
        <w:tc>
          <w:tcPr>
            <w:tcW w:w="1350" w:type="dxa"/>
            <w:shd w:val="clear" w:color="auto" w:fill="FFFFFF" w:themeFill="background1"/>
            <w:vAlign w:val="center"/>
          </w:tcPr>
          <w:p w14:paraId="251D6B9C" w14:textId="06A20E12" w:rsidR="005A2EB5" w:rsidRPr="00076E3D" w:rsidRDefault="005A2EB5">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Urban </w:t>
            </w:r>
            <w:r w:rsidR="00FC1499">
              <w:rPr>
                <w:rFonts w:ascii="Calibri" w:eastAsia="Times New Roman" w:hAnsi="Calibri" w:cs="Calibri"/>
                <w:color w:val="000000"/>
                <w:sz w:val="20"/>
                <w:szCs w:val="20"/>
                <w:lang w:val="en-GB"/>
              </w:rPr>
              <w:t>p</w:t>
            </w:r>
            <w:r w:rsidRPr="00076E3D">
              <w:rPr>
                <w:rFonts w:ascii="Calibri" w:eastAsia="Times New Roman" w:hAnsi="Calibri" w:cs="Calibri"/>
                <w:color w:val="000000"/>
                <w:sz w:val="20"/>
                <w:szCs w:val="20"/>
                <w:lang w:val="en-GB"/>
              </w:rPr>
              <w:t>lans</w:t>
            </w:r>
          </w:p>
        </w:tc>
        <w:tc>
          <w:tcPr>
            <w:tcW w:w="1800" w:type="dxa"/>
            <w:shd w:val="clear" w:color="auto" w:fill="FFFFFF" w:themeFill="background1"/>
            <w:vAlign w:val="center"/>
          </w:tcPr>
          <w:p w14:paraId="74B5FEE9" w14:textId="0F624AC7" w:rsidR="005A2EB5" w:rsidRPr="00076E3D" w:rsidRDefault="005A2EB5" w:rsidP="0015628B">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Planning policies and plans</w:t>
            </w:r>
            <w:r w:rsidR="00FC1499">
              <w:rPr>
                <w:rFonts w:ascii="Calibri" w:eastAsia="Times New Roman" w:hAnsi="Calibri" w:cs="Calibri"/>
                <w:color w:val="000000"/>
                <w:sz w:val="20"/>
                <w:szCs w:val="20"/>
                <w:lang w:val="en-GB"/>
              </w:rPr>
              <w:t>.</w:t>
            </w:r>
          </w:p>
        </w:tc>
        <w:tc>
          <w:tcPr>
            <w:tcW w:w="5760" w:type="dxa"/>
            <w:shd w:val="clear" w:color="auto" w:fill="FFFFFF" w:themeFill="background1"/>
            <w:vAlign w:val="center"/>
          </w:tcPr>
          <w:p w14:paraId="0501162D" w14:textId="120278A5" w:rsidR="005A2EB5" w:rsidRPr="00076E3D" w:rsidRDefault="005A2EB5" w:rsidP="0015628B">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National ministry or municipal authorities responsible for planning There may be policy documents for specific regions or urban areas. Should be requested from the regional or local office of the relevant </w:t>
            </w:r>
            <w:r w:rsidR="00D14C99">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inistry.</w:t>
            </w:r>
          </w:p>
        </w:tc>
        <w:tc>
          <w:tcPr>
            <w:tcW w:w="2160" w:type="dxa"/>
            <w:shd w:val="clear" w:color="auto" w:fill="E7E6E6" w:themeFill="background2"/>
            <w:vAlign w:val="center"/>
          </w:tcPr>
          <w:p w14:paraId="157DDBD6"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345DBAB4"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46E1F528" w14:textId="0AD05C9E" w:rsidTr="00961040">
        <w:trPr>
          <w:trHeight w:val="77"/>
        </w:trPr>
        <w:tc>
          <w:tcPr>
            <w:tcW w:w="787" w:type="dxa"/>
            <w:vMerge/>
            <w:vAlign w:val="center"/>
          </w:tcPr>
          <w:p w14:paraId="7B2F933E" w14:textId="77777777" w:rsidR="005A2EB5" w:rsidRPr="00076E3D" w:rsidRDefault="005A2EB5" w:rsidP="005A2EB5">
            <w:pPr>
              <w:spacing w:after="0" w:line="240" w:lineRule="auto"/>
              <w:jc w:val="center"/>
              <w:rPr>
                <w:rFonts w:ascii="Calibri" w:eastAsia="Times New Roman" w:hAnsi="Calibri" w:cs="Calibri"/>
                <w:color w:val="000000"/>
                <w:sz w:val="20"/>
                <w:szCs w:val="20"/>
                <w:highlight w:val="yellow"/>
                <w:lang w:val="en-GB"/>
              </w:rPr>
            </w:pPr>
          </w:p>
        </w:tc>
        <w:tc>
          <w:tcPr>
            <w:tcW w:w="1350" w:type="dxa"/>
            <w:shd w:val="clear" w:color="auto" w:fill="FFFFFF" w:themeFill="background1"/>
            <w:vAlign w:val="center"/>
          </w:tcPr>
          <w:p w14:paraId="6B30BDF0" w14:textId="03DB1CF3" w:rsidR="005A2EB5" w:rsidRPr="00076E3D" w:rsidRDefault="005A2EB5" w:rsidP="0015628B">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Environmental </w:t>
            </w:r>
            <w:r w:rsidR="00D14C99">
              <w:rPr>
                <w:rFonts w:ascii="Calibri" w:eastAsia="Times New Roman" w:hAnsi="Calibri" w:cs="Calibri"/>
                <w:color w:val="000000"/>
                <w:sz w:val="20"/>
                <w:szCs w:val="20"/>
                <w:lang w:val="en-GB"/>
              </w:rPr>
              <w:t>r</w:t>
            </w:r>
            <w:r w:rsidRPr="00076E3D">
              <w:rPr>
                <w:rFonts w:ascii="Calibri" w:eastAsia="Times New Roman" w:hAnsi="Calibri" w:cs="Calibri"/>
                <w:color w:val="000000"/>
                <w:sz w:val="20"/>
                <w:szCs w:val="20"/>
                <w:lang w:val="en-GB"/>
              </w:rPr>
              <w:t>isks</w:t>
            </w:r>
          </w:p>
        </w:tc>
        <w:tc>
          <w:tcPr>
            <w:tcW w:w="1800" w:type="dxa"/>
            <w:shd w:val="clear" w:color="auto" w:fill="FFFFFF" w:themeFill="background1"/>
            <w:vAlign w:val="center"/>
          </w:tcPr>
          <w:p w14:paraId="7C409C0C" w14:textId="02FBC286" w:rsidR="005A2EB5" w:rsidRPr="00076E3D" w:rsidRDefault="005A2EB5" w:rsidP="00773CF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Environment polices and plans</w:t>
            </w:r>
            <w:r w:rsidR="00FC1499">
              <w:rPr>
                <w:rFonts w:ascii="Calibri" w:eastAsia="Times New Roman" w:hAnsi="Calibri" w:cs="Calibri"/>
                <w:color w:val="000000"/>
                <w:sz w:val="20"/>
                <w:szCs w:val="20"/>
                <w:lang w:val="en-GB"/>
              </w:rPr>
              <w:t>.</w:t>
            </w:r>
          </w:p>
          <w:p w14:paraId="461310AF" w14:textId="77777777" w:rsidR="005A2EB5" w:rsidRPr="00076E3D" w:rsidRDefault="005A2EB5" w:rsidP="00773CF5">
            <w:pPr>
              <w:spacing w:after="0" w:line="240" w:lineRule="auto"/>
              <w:rPr>
                <w:rFonts w:ascii="Calibri" w:eastAsia="Times New Roman" w:hAnsi="Calibri" w:cs="Calibri"/>
                <w:color w:val="000000"/>
                <w:sz w:val="20"/>
                <w:szCs w:val="20"/>
                <w:lang w:val="en-GB"/>
              </w:rPr>
            </w:pPr>
          </w:p>
          <w:p w14:paraId="15E2A99C" w14:textId="6623B5A1" w:rsidR="0056528C" w:rsidRPr="00076E3D" w:rsidRDefault="005A2EB5" w:rsidP="00F46CC7">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Risk </w:t>
            </w:r>
            <w:r w:rsidR="00F46CC7" w:rsidRPr="00076E3D">
              <w:rPr>
                <w:rFonts w:ascii="Calibri" w:eastAsia="Times New Roman" w:hAnsi="Calibri" w:cs="Calibri"/>
                <w:color w:val="000000"/>
                <w:sz w:val="20"/>
                <w:szCs w:val="20"/>
                <w:lang w:val="en-GB"/>
              </w:rPr>
              <w:t xml:space="preserve">and environmental </w:t>
            </w:r>
            <w:r w:rsidRPr="00076E3D">
              <w:rPr>
                <w:rFonts w:ascii="Calibri" w:eastAsia="Times New Roman" w:hAnsi="Calibri" w:cs="Calibri"/>
                <w:color w:val="000000"/>
                <w:sz w:val="20"/>
                <w:szCs w:val="20"/>
                <w:lang w:val="en-GB"/>
              </w:rPr>
              <w:t xml:space="preserve">assessments </w:t>
            </w:r>
            <w:r w:rsidR="00F46CC7" w:rsidRPr="00076E3D">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plans</w:t>
            </w:r>
            <w:r w:rsidR="00FC1499">
              <w:rPr>
                <w:rFonts w:ascii="Calibri" w:eastAsia="Times New Roman" w:hAnsi="Calibri" w:cs="Calibri"/>
                <w:color w:val="000000"/>
                <w:sz w:val="20"/>
                <w:szCs w:val="20"/>
                <w:lang w:val="en-GB"/>
              </w:rPr>
              <w:t>.</w:t>
            </w:r>
          </w:p>
          <w:p w14:paraId="33918A3B" w14:textId="77777777" w:rsidR="0056528C" w:rsidRPr="00076E3D" w:rsidRDefault="0056528C" w:rsidP="00F46CC7">
            <w:pPr>
              <w:spacing w:after="0" w:line="240" w:lineRule="auto"/>
              <w:rPr>
                <w:rFonts w:ascii="Calibri" w:eastAsia="Times New Roman" w:hAnsi="Calibri" w:cs="Calibri"/>
                <w:color w:val="000000"/>
                <w:sz w:val="20"/>
                <w:szCs w:val="20"/>
                <w:lang w:val="en-GB"/>
              </w:rPr>
            </w:pPr>
          </w:p>
          <w:p w14:paraId="47F38929" w14:textId="6BBDA9B0" w:rsidR="0056528C" w:rsidRPr="00076E3D" w:rsidRDefault="0056528C" w:rsidP="00F46CC7">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Maps</w:t>
            </w:r>
            <w:r w:rsidR="00FC1499">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 xml:space="preserve"> </w:t>
            </w:r>
          </w:p>
        </w:tc>
        <w:tc>
          <w:tcPr>
            <w:tcW w:w="5760" w:type="dxa"/>
            <w:shd w:val="clear" w:color="auto" w:fill="FFFFFF" w:themeFill="background1"/>
            <w:vAlign w:val="center"/>
          </w:tcPr>
          <w:p w14:paraId="64E1D62A" w14:textId="07F242F0" w:rsidR="005A2EB5" w:rsidRPr="00076E3D" w:rsidRDefault="005A2EB5" w:rsidP="0082272F">
            <w:pPr>
              <w:spacing w:after="0" w:line="240" w:lineRule="auto"/>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 xml:space="preserve">National ministry/agency responsible for environment (if existing). There may be policy documents for specific regions or urban areas. Should be requested from the regional or local office of the relevant </w:t>
            </w:r>
            <w:r w:rsidR="00FC1499">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inistry. International development stakeholders (particularly environmental NGOs and the World Bank) may have produced general or specific risk or post-disaster assessments.</w:t>
            </w:r>
          </w:p>
        </w:tc>
        <w:tc>
          <w:tcPr>
            <w:tcW w:w="2160" w:type="dxa"/>
            <w:shd w:val="clear" w:color="auto" w:fill="E7E6E6" w:themeFill="background2"/>
            <w:vAlign w:val="center"/>
          </w:tcPr>
          <w:p w14:paraId="51360193"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767DDFFA"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23F0B582" w14:textId="56067E11" w:rsidTr="00961040">
        <w:trPr>
          <w:trHeight w:val="80"/>
        </w:trPr>
        <w:tc>
          <w:tcPr>
            <w:tcW w:w="787" w:type="dxa"/>
            <w:vMerge/>
            <w:vAlign w:val="center"/>
          </w:tcPr>
          <w:p w14:paraId="505F749E" w14:textId="55AF6DC5" w:rsidR="005A2EB5" w:rsidRPr="00076E3D" w:rsidRDefault="005A2EB5" w:rsidP="005A2EB5">
            <w:pPr>
              <w:spacing w:after="0" w:line="240" w:lineRule="auto"/>
              <w:jc w:val="center"/>
              <w:rPr>
                <w:rFonts w:ascii="Calibri" w:eastAsia="Times New Roman" w:hAnsi="Calibri" w:cs="Calibri"/>
                <w:color w:val="000000"/>
                <w:sz w:val="20"/>
                <w:szCs w:val="20"/>
                <w:highlight w:val="yellow"/>
                <w:lang w:val="en-GB"/>
              </w:rPr>
            </w:pPr>
          </w:p>
        </w:tc>
        <w:tc>
          <w:tcPr>
            <w:tcW w:w="1350" w:type="dxa"/>
            <w:shd w:val="clear" w:color="auto" w:fill="FFFFFF" w:themeFill="background1"/>
            <w:vAlign w:val="center"/>
          </w:tcPr>
          <w:p w14:paraId="7909A324" w14:textId="0C7B4E5D" w:rsidR="005A2EB5" w:rsidRPr="00076E3D" w:rsidRDefault="005A2EB5"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Access to </w:t>
            </w:r>
            <w:r w:rsidR="00D14C99">
              <w:rPr>
                <w:rFonts w:ascii="Calibri" w:eastAsia="Times New Roman" w:hAnsi="Calibri" w:cs="Calibri"/>
                <w:color w:val="000000"/>
                <w:sz w:val="20"/>
                <w:szCs w:val="20"/>
                <w:lang w:val="en-GB"/>
              </w:rPr>
              <w:t>h</w:t>
            </w:r>
            <w:r w:rsidRPr="00076E3D">
              <w:rPr>
                <w:rFonts w:ascii="Calibri" w:eastAsia="Times New Roman" w:hAnsi="Calibri" w:cs="Calibri"/>
                <w:color w:val="000000"/>
                <w:sz w:val="20"/>
                <w:szCs w:val="20"/>
                <w:lang w:val="en-GB"/>
              </w:rPr>
              <w:t xml:space="preserve">ousing and </w:t>
            </w:r>
            <w:r w:rsidR="00D14C99">
              <w:rPr>
                <w:rFonts w:ascii="Calibri" w:eastAsia="Times New Roman" w:hAnsi="Calibri" w:cs="Calibri"/>
                <w:color w:val="000000"/>
                <w:sz w:val="20"/>
                <w:szCs w:val="20"/>
                <w:lang w:val="en-GB"/>
              </w:rPr>
              <w:t>l</w:t>
            </w:r>
            <w:r w:rsidRPr="00076E3D">
              <w:rPr>
                <w:rFonts w:ascii="Calibri" w:eastAsia="Times New Roman" w:hAnsi="Calibri" w:cs="Calibri"/>
                <w:color w:val="000000"/>
                <w:sz w:val="20"/>
                <w:szCs w:val="20"/>
                <w:lang w:val="en-GB"/>
              </w:rPr>
              <w:t>and</w:t>
            </w:r>
          </w:p>
        </w:tc>
        <w:tc>
          <w:tcPr>
            <w:tcW w:w="1800" w:type="dxa"/>
            <w:shd w:val="clear" w:color="auto" w:fill="FFFFFF" w:themeFill="background1"/>
            <w:vAlign w:val="center"/>
          </w:tcPr>
          <w:p w14:paraId="7F6188CD" w14:textId="4331E226" w:rsidR="005A2EB5" w:rsidRPr="00076E3D" w:rsidRDefault="005A2EB5"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Housing and land data</w:t>
            </w:r>
            <w:r w:rsidR="00FC1499">
              <w:rPr>
                <w:rFonts w:ascii="Calibri" w:eastAsia="Times New Roman" w:hAnsi="Calibri" w:cs="Calibri"/>
                <w:color w:val="000000"/>
                <w:sz w:val="20"/>
                <w:szCs w:val="20"/>
                <w:lang w:val="en-GB"/>
              </w:rPr>
              <w:t>.</w:t>
            </w:r>
          </w:p>
          <w:p w14:paraId="118E08C9" w14:textId="77777777" w:rsidR="0056528C" w:rsidRPr="00076E3D" w:rsidRDefault="0056528C" w:rsidP="001A5553">
            <w:pPr>
              <w:spacing w:after="0" w:line="240" w:lineRule="auto"/>
              <w:rPr>
                <w:rFonts w:ascii="Calibri" w:eastAsia="Times New Roman" w:hAnsi="Calibri" w:cs="Calibri"/>
                <w:color w:val="000000"/>
                <w:sz w:val="20"/>
                <w:szCs w:val="20"/>
                <w:lang w:val="en-GB"/>
              </w:rPr>
            </w:pPr>
          </w:p>
          <w:p w14:paraId="01C4A2CE" w14:textId="31C08EC5" w:rsidR="0056528C" w:rsidRPr="00076E3D" w:rsidRDefault="0056528C"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Maps</w:t>
            </w:r>
            <w:r w:rsidR="00FC1499">
              <w:rPr>
                <w:rFonts w:ascii="Calibri" w:eastAsia="Times New Roman" w:hAnsi="Calibri" w:cs="Calibri"/>
                <w:color w:val="000000"/>
                <w:sz w:val="20"/>
                <w:szCs w:val="20"/>
                <w:lang w:val="en-GB"/>
              </w:rPr>
              <w:t>.</w:t>
            </w:r>
          </w:p>
        </w:tc>
        <w:tc>
          <w:tcPr>
            <w:tcW w:w="5760" w:type="dxa"/>
            <w:shd w:val="clear" w:color="auto" w:fill="FFFFFF" w:themeFill="background1"/>
            <w:vAlign w:val="center"/>
          </w:tcPr>
          <w:p w14:paraId="6FA65CB9" w14:textId="7179F211"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Government or UN agencies (</w:t>
            </w:r>
            <w:proofErr w:type="spellStart"/>
            <w:r w:rsidRPr="00076E3D">
              <w:rPr>
                <w:rFonts w:ascii="Calibri" w:eastAsia="Times New Roman" w:hAnsi="Calibri" w:cs="Calibri"/>
                <w:color w:val="000000"/>
                <w:sz w:val="20"/>
                <w:szCs w:val="20"/>
                <w:lang w:val="en-GB"/>
              </w:rPr>
              <w:t>e</w:t>
            </w:r>
            <w:r w:rsidR="00FC1499">
              <w:rPr>
                <w:rFonts w:ascii="Calibri" w:eastAsia="Times New Roman" w:hAnsi="Calibri" w:cs="Calibri"/>
                <w:color w:val="000000"/>
                <w:sz w:val="20"/>
                <w:szCs w:val="20"/>
                <w:lang w:val="en-GB"/>
              </w:rPr>
              <w:t>g</w:t>
            </w:r>
            <w:proofErr w:type="spellEnd"/>
            <w:r w:rsidRPr="00076E3D">
              <w:rPr>
                <w:rFonts w:ascii="Calibri" w:eastAsia="Times New Roman" w:hAnsi="Calibri" w:cs="Calibri"/>
                <w:color w:val="000000"/>
                <w:sz w:val="20"/>
                <w:szCs w:val="20"/>
                <w:lang w:val="en-GB"/>
              </w:rPr>
              <w:t xml:space="preserve"> municipal or city planning authorities; OCHA), NGOs, </w:t>
            </w:r>
            <w:hyperlink r:id="rId11" w:history="1">
              <w:proofErr w:type="spellStart"/>
              <w:r w:rsidRPr="00076E3D">
                <w:rPr>
                  <w:rStyle w:val="Hyperlink"/>
                  <w:rFonts w:ascii="Calibri" w:eastAsia="Times New Roman" w:hAnsi="Calibri" w:cs="Calibri"/>
                  <w:sz w:val="20"/>
                  <w:szCs w:val="20"/>
                  <w:lang w:val="en-GB"/>
                </w:rPr>
                <w:t>OpenStreetMap</w:t>
              </w:r>
              <w:proofErr w:type="spellEnd"/>
            </w:hyperlink>
            <w:r w:rsidRPr="00076E3D">
              <w:rPr>
                <w:rFonts w:ascii="Calibri" w:eastAsia="Times New Roman" w:hAnsi="Calibri" w:cs="Calibri"/>
                <w:color w:val="000000"/>
                <w:sz w:val="20"/>
                <w:szCs w:val="20"/>
                <w:lang w:val="en-GB"/>
              </w:rPr>
              <w:t xml:space="preserve">, </w:t>
            </w:r>
            <w:hyperlink r:id="rId12" w:history="1">
              <w:r w:rsidRPr="00076E3D">
                <w:rPr>
                  <w:rStyle w:val="Hyperlink"/>
                  <w:rFonts w:ascii="Calibri" w:eastAsia="Times New Roman" w:hAnsi="Calibri" w:cs="Calibri"/>
                  <w:sz w:val="20"/>
                  <w:szCs w:val="20"/>
                  <w:lang w:val="en-GB"/>
                </w:rPr>
                <w:t>Humanitarian Data Exchange (HDX)</w:t>
              </w:r>
            </w:hyperlink>
            <w:r w:rsidRPr="00076E3D">
              <w:rPr>
                <w:rFonts w:ascii="Calibri" w:eastAsia="Times New Roman" w:hAnsi="Calibri" w:cs="Calibri"/>
                <w:color w:val="000000"/>
                <w:sz w:val="20"/>
                <w:szCs w:val="20"/>
                <w:lang w:val="en-GB"/>
              </w:rPr>
              <w:t xml:space="preserve">, National Bureaus of Statistics, </w:t>
            </w:r>
            <w:r w:rsidR="00D14C99" w:rsidRPr="00E34DD7">
              <w:rPr>
                <w:rFonts w:ascii="Calibri" w:eastAsia="Times New Roman" w:hAnsi="Calibri" w:cs="Calibri"/>
                <w:color w:val="000000"/>
                <w:sz w:val="20"/>
                <w:szCs w:val="20"/>
                <w:lang w:val="en-GB"/>
              </w:rPr>
              <w:t>national mapping agencies.</w:t>
            </w:r>
            <w:r w:rsidRPr="00076E3D">
              <w:rPr>
                <w:rFonts w:ascii="Calibri" w:eastAsia="Times New Roman" w:hAnsi="Calibri" w:cs="Calibri"/>
                <w:color w:val="000000"/>
                <w:sz w:val="20"/>
                <w:szCs w:val="20"/>
                <w:lang w:val="en-GB"/>
              </w:rPr>
              <w:t xml:space="preserve"> Be sure to include research on the existence and prevalence of discriminatory renting processes</w:t>
            </w:r>
            <w:r w:rsidRPr="00076E3D">
              <w:rPr>
                <w:rFonts w:ascii="Calibri" w:eastAsia="Times New Roman" w:hAnsi="Calibri" w:cs="Calibri"/>
                <w:color w:val="000000"/>
                <w:sz w:val="20"/>
                <w:szCs w:val="20"/>
              </w:rPr>
              <w:t>.</w:t>
            </w:r>
          </w:p>
        </w:tc>
        <w:tc>
          <w:tcPr>
            <w:tcW w:w="2160" w:type="dxa"/>
            <w:shd w:val="clear" w:color="auto" w:fill="E7E6E6" w:themeFill="background2"/>
            <w:vAlign w:val="center"/>
          </w:tcPr>
          <w:p w14:paraId="5C4025A3"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521F42F1" w14:textId="77777777" w:rsidR="005A2EB5" w:rsidRPr="00076E3D" w:rsidRDefault="005A2EB5" w:rsidP="0015628B">
            <w:pPr>
              <w:rPr>
                <w:rFonts w:ascii="Calibri" w:eastAsia="Times New Roman" w:hAnsi="Calibri" w:cs="Calibri"/>
                <w:color w:val="000000"/>
                <w:sz w:val="20"/>
                <w:szCs w:val="20"/>
                <w:lang w:val="en-GB"/>
              </w:rPr>
            </w:pPr>
          </w:p>
        </w:tc>
      </w:tr>
      <w:tr w:rsidR="005A2EB5" w:rsidRPr="00E34DD7" w14:paraId="1F36CE25" w14:textId="1457FF8E" w:rsidTr="00961040">
        <w:trPr>
          <w:trHeight w:val="77"/>
        </w:trPr>
        <w:tc>
          <w:tcPr>
            <w:tcW w:w="787" w:type="dxa"/>
            <w:vMerge/>
            <w:vAlign w:val="center"/>
          </w:tcPr>
          <w:p w14:paraId="78D16B58" w14:textId="77777777" w:rsidR="005A2EB5" w:rsidRPr="00076E3D" w:rsidRDefault="005A2EB5" w:rsidP="005A2EB5">
            <w:pPr>
              <w:spacing w:after="0" w:line="240" w:lineRule="auto"/>
              <w:jc w:val="center"/>
              <w:rPr>
                <w:rFonts w:ascii="Calibri" w:eastAsia="Times New Roman" w:hAnsi="Calibri" w:cs="Calibri"/>
                <w:color w:val="000000"/>
                <w:sz w:val="20"/>
                <w:szCs w:val="20"/>
                <w:highlight w:val="yellow"/>
                <w:lang w:val="en-GB"/>
              </w:rPr>
            </w:pPr>
          </w:p>
        </w:tc>
        <w:tc>
          <w:tcPr>
            <w:tcW w:w="1350" w:type="dxa"/>
            <w:shd w:val="clear" w:color="auto" w:fill="FFFFFF" w:themeFill="background1"/>
            <w:vAlign w:val="center"/>
          </w:tcPr>
          <w:p w14:paraId="151019D0" w14:textId="69350420" w:rsidR="005A2EB5" w:rsidRPr="00076E3D" w:rsidRDefault="005A2EB5">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Access to </w:t>
            </w:r>
            <w:r w:rsidR="00D14C99">
              <w:rPr>
                <w:rFonts w:ascii="Calibri" w:eastAsia="Times New Roman" w:hAnsi="Calibri" w:cs="Calibri"/>
                <w:color w:val="000000"/>
                <w:sz w:val="20"/>
                <w:szCs w:val="20"/>
                <w:lang w:val="en-GB"/>
              </w:rPr>
              <w:t>p</w:t>
            </w:r>
            <w:r w:rsidRPr="00076E3D">
              <w:rPr>
                <w:rFonts w:ascii="Calibri" w:eastAsia="Times New Roman" w:hAnsi="Calibri" w:cs="Calibri"/>
                <w:color w:val="000000"/>
                <w:sz w:val="20"/>
                <w:szCs w:val="20"/>
                <w:lang w:val="en-GB"/>
              </w:rPr>
              <w:t xml:space="preserve">ublic </w:t>
            </w:r>
            <w:r w:rsidR="00D14C99">
              <w:rPr>
                <w:rFonts w:ascii="Calibri" w:eastAsia="Times New Roman" w:hAnsi="Calibri" w:cs="Calibri"/>
                <w:color w:val="000000"/>
                <w:sz w:val="20"/>
                <w:szCs w:val="20"/>
                <w:lang w:val="en-GB"/>
              </w:rPr>
              <w:t>s</w:t>
            </w:r>
            <w:r w:rsidRPr="00076E3D">
              <w:rPr>
                <w:rFonts w:ascii="Calibri" w:eastAsia="Times New Roman" w:hAnsi="Calibri" w:cs="Calibri"/>
                <w:color w:val="000000"/>
                <w:sz w:val="20"/>
                <w:szCs w:val="20"/>
                <w:lang w:val="en-GB"/>
              </w:rPr>
              <w:t>paces</w:t>
            </w:r>
          </w:p>
        </w:tc>
        <w:tc>
          <w:tcPr>
            <w:tcW w:w="1800" w:type="dxa"/>
            <w:shd w:val="clear" w:color="auto" w:fill="FFFFFF" w:themeFill="background1"/>
            <w:vAlign w:val="center"/>
          </w:tcPr>
          <w:p w14:paraId="21CCFC73" w14:textId="381C539D" w:rsidR="005A2EB5" w:rsidRPr="00076E3D" w:rsidRDefault="005A2EB5"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Planning policies and plans</w:t>
            </w:r>
            <w:r w:rsidR="00FC1499">
              <w:rPr>
                <w:rFonts w:ascii="Calibri" w:eastAsia="Times New Roman" w:hAnsi="Calibri" w:cs="Calibri"/>
                <w:color w:val="000000"/>
                <w:sz w:val="20"/>
                <w:szCs w:val="20"/>
                <w:lang w:val="en-GB"/>
              </w:rPr>
              <w:t>.</w:t>
            </w:r>
          </w:p>
          <w:p w14:paraId="4B4B9454" w14:textId="77777777" w:rsidR="005A2EB5" w:rsidRPr="00076E3D" w:rsidRDefault="005A2EB5" w:rsidP="001A5553">
            <w:pPr>
              <w:spacing w:after="0" w:line="240" w:lineRule="auto"/>
              <w:rPr>
                <w:rFonts w:ascii="Calibri" w:eastAsia="Times New Roman" w:hAnsi="Calibri" w:cs="Calibri"/>
                <w:color w:val="000000"/>
                <w:sz w:val="20"/>
                <w:szCs w:val="20"/>
                <w:lang w:val="en-GB"/>
              </w:rPr>
            </w:pPr>
          </w:p>
          <w:p w14:paraId="25BB0A5E" w14:textId="5597B58A" w:rsidR="005A2EB5" w:rsidRPr="00076E3D" w:rsidRDefault="005A2EB5"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Needs assessments or advocacy papers</w:t>
            </w:r>
            <w:r w:rsidR="00FC1499">
              <w:rPr>
                <w:rFonts w:ascii="Calibri" w:eastAsia="Times New Roman" w:hAnsi="Calibri" w:cs="Calibri"/>
                <w:color w:val="000000"/>
                <w:sz w:val="20"/>
                <w:szCs w:val="20"/>
                <w:lang w:val="en-GB"/>
              </w:rPr>
              <w:t>.</w:t>
            </w:r>
            <w:r w:rsidRPr="00076E3D">
              <w:rPr>
                <w:rFonts w:ascii="Calibri" w:eastAsia="Times New Roman" w:hAnsi="Calibri" w:cs="Calibri"/>
                <w:color w:val="000000"/>
                <w:sz w:val="20"/>
                <w:szCs w:val="20"/>
                <w:lang w:val="en-GB"/>
              </w:rPr>
              <w:t xml:space="preserve"> </w:t>
            </w:r>
          </w:p>
        </w:tc>
        <w:tc>
          <w:tcPr>
            <w:tcW w:w="5760" w:type="dxa"/>
            <w:shd w:val="clear" w:color="auto" w:fill="FFFFFF" w:themeFill="background1"/>
            <w:vAlign w:val="center"/>
          </w:tcPr>
          <w:p w14:paraId="13898EC5" w14:textId="4A51B3A0" w:rsidR="005A2EB5" w:rsidRPr="00076E3D" w:rsidRDefault="005A2EB5" w:rsidP="00D1090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National ministry or municipal authorities responsible for planning There may be policy documents for specific regions or urban areas. Should be requested from the regional or local office of the relevant </w:t>
            </w:r>
            <w:r w:rsidR="00FC1499">
              <w:rPr>
                <w:rFonts w:ascii="Calibri" w:eastAsia="Times New Roman" w:hAnsi="Calibri" w:cs="Calibri"/>
                <w:color w:val="000000"/>
                <w:sz w:val="20"/>
                <w:szCs w:val="20"/>
                <w:lang w:val="en-GB"/>
              </w:rPr>
              <w:t>m</w:t>
            </w:r>
            <w:r w:rsidRPr="00076E3D">
              <w:rPr>
                <w:rFonts w:ascii="Calibri" w:eastAsia="Times New Roman" w:hAnsi="Calibri" w:cs="Calibri"/>
                <w:color w:val="000000"/>
                <w:sz w:val="20"/>
                <w:szCs w:val="20"/>
                <w:lang w:val="en-GB"/>
              </w:rPr>
              <w:t>inistry. International development stakeholders (UN-Habitat,</w:t>
            </w:r>
            <w:r w:rsidR="00D14C99">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UN Women) may have produced guidelines/action plans, needs assessments, or advocacy papers etc. of relevance.</w:t>
            </w:r>
          </w:p>
        </w:tc>
        <w:tc>
          <w:tcPr>
            <w:tcW w:w="2160" w:type="dxa"/>
            <w:shd w:val="clear" w:color="auto" w:fill="E7E6E6" w:themeFill="background2"/>
            <w:vAlign w:val="center"/>
          </w:tcPr>
          <w:p w14:paraId="3BFA0877" w14:textId="77777777" w:rsidR="005A2EB5" w:rsidRPr="00076E3D" w:rsidRDefault="005A2EB5"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0EF3A290" w14:textId="77777777" w:rsidR="005A2EB5" w:rsidRPr="00076E3D" w:rsidRDefault="005A2EB5" w:rsidP="0015628B">
            <w:pPr>
              <w:rPr>
                <w:rFonts w:ascii="Calibri" w:eastAsia="Times New Roman" w:hAnsi="Calibri" w:cs="Calibri"/>
                <w:color w:val="000000"/>
                <w:sz w:val="20"/>
                <w:szCs w:val="20"/>
                <w:lang w:val="en-GB"/>
              </w:rPr>
            </w:pPr>
          </w:p>
        </w:tc>
      </w:tr>
      <w:tr w:rsidR="00076E3D" w:rsidRPr="00E34DD7" w14:paraId="4272C27D" w14:textId="33B015BA" w:rsidTr="00936909">
        <w:trPr>
          <w:trHeight w:val="242"/>
        </w:trPr>
        <w:tc>
          <w:tcPr>
            <w:tcW w:w="787" w:type="dxa"/>
            <w:vMerge w:val="restart"/>
            <w:textDirection w:val="btLr"/>
            <w:vAlign w:val="center"/>
          </w:tcPr>
          <w:p w14:paraId="425D21F5" w14:textId="5646AC60" w:rsidR="00076E3D" w:rsidRPr="00076E3D" w:rsidRDefault="00076E3D" w:rsidP="005A2EB5">
            <w:pPr>
              <w:spacing w:after="0" w:line="240" w:lineRule="auto"/>
              <w:ind w:left="113" w:right="113"/>
              <w:jc w:val="center"/>
              <w:rPr>
                <w:rFonts w:ascii="Calibri" w:eastAsia="Times New Roman" w:hAnsi="Calibri" w:cs="Calibri"/>
                <w:color w:val="000000"/>
                <w:sz w:val="20"/>
                <w:szCs w:val="20"/>
                <w:highlight w:val="yellow"/>
                <w:lang w:val="en-GB"/>
              </w:rPr>
            </w:pPr>
            <w:r w:rsidRPr="00076E3D">
              <w:rPr>
                <w:rFonts w:ascii="Calibri" w:eastAsia="Times New Roman" w:hAnsi="Calibri" w:cs="Calibri"/>
                <w:color w:val="000000"/>
                <w:sz w:val="20"/>
                <w:szCs w:val="20"/>
                <w:lang w:val="en-GB"/>
              </w:rPr>
              <w:t>Cross-cutting</w:t>
            </w:r>
          </w:p>
        </w:tc>
        <w:tc>
          <w:tcPr>
            <w:tcW w:w="1350" w:type="dxa"/>
            <w:vMerge w:val="restart"/>
            <w:shd w:val="clear" w:color="auto" w:fill="FFFFFF" w:themeFill="background1"/>
            <w:vAlign w:val="center"/>
          </w:tcPr>
          <w:p w14:paraId="23FD3724" w14:textId="77777777" w:rsidR="00076E3D" w:rsidRPr="00076E3D" w:rsidRDefault="00076E3D" w:rsidP="0015628B">
            <w:pPr>
              <w:spacing w:after="0" w:line="240" w:lineRule="auto"/>
              <w:rPr>
                <w:rFonts w:ascii="Calibri" w:eastAsia="Times New Roman" w:hAnsi="Calibri" w:cs="Calibri"/>
                <w:color w:val="000000"/>
                <w:sz w:val="20"/>
                <w:szCs w:val="20"/>
                <w:lang w:val="en-GB"/>
              </w:rPr>
            </w:pPr>
          </w:p>
          <w:p w14:paraId="443938A5" w14:textId="77777777" w:rsidR="00076E3D" w:rsidRPr="00076E3D" w:rsidRDefault="00076E3D" w:rsidP="0015628B">
            <w:pPr>
              <w:spacing w:after="0" w:line="240" w:lineRule="auto"/>
              <w:rPr>
                <w:rFonts w:ascii="Calibri" w:eastAsia="Times New Roman" w:hAnsi="Calibri" w:cs="Calibri"/>
                <w:color w:val="000000"/>
                <w:sz w:val="20"/>
                <w:szCs w:val="20"/>
                <w:lang w:val="en-GB"/>
              </w:rPr>
            </w:pPr>
          </w:p>
          <w:p w14:paraId="623EE03D" w14:textId="77777777" w:rsidR="00076E3D" w:rsidRPr="00076E3D" w:rsidRDefault="00076E3D" w:rsidP="0015628B">
            <w:pPr>
              <w:spacing w:after="0" w:line="240" w:lineRule="auto"/>
              <w:rPr>
                <w:rFonts w:ascii="Calibri" w:eastAsia="Times New Roman" w:hAnsi="Calibri" w:cs="Calibri"/>
                <w:color w:val="000000"/>
                <w:sz w:val="20"/>
                <w:szCs w:val="20"/>
                <w:lang w:val="en-GB"/>
              </w:rPr>
            </w:pPr>
          </w:p>
          <w:p w14:paraId="212D7D3F" w14:textId="77777777" w:rsidR="00076E3D" w:rsidRPr="00076E3D" w:rsidRDefault="00076E3D" w:rsidP="0015628B">
            <w:pPr>
              <w:spacing w:after="0" w:line="240" w:lineRule="auto"/>
              <w:rPr>
                <w:rFonts w:ascii="Calibri" w:eastAsia="Times New Roman" w:hAnsi="Calibri" w:cs="Calibri"/>
                <w:color w:val="000000"/>
                <w:sz w:val="20"/>
                <w:szCs w:val="20"/>
                <w:lang w:val="en-GB"/>
              </w:rPr>
            </w:pPr>
          </w:p>
          <w:p w14:paraId="09EC8395" w14:textId="3B64DF4F" w:rsidR="00076E3D" w:rsidRPr="00076E3D" w:rsidRDefault="00076E3D" w:rsidP="0015628B">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Gender </w:t>
            </w:r>
            <w:r>
              <w:rPr>
                <w:rFonts w:ascii="Calibri" w:eastAsia="Times New Roman" w:hAnsi="Calibri" w:cs="Calibri"/>
                <w:color w:val="000000"/>
                <w:sz w:val="20"/>
                <w:szCs w:val="20"/>
                <w:lang w:val="en-GB"/>
              </w:rPr>
              <w:t>e</w:t>
            </w:r>
            <w:r w:rsidRPr="00076E3D">
              <w:rPr>
                <w:rFonts w:ascii="Calibri" w:eastAsia="Times New Roman" w:hAnsi="Calibri" w:cs="Calibri"/>
                <w:color w:val="000000"/>
                <w:sz w:val="20"/>
                <w:szCs w:val="20"/>
                <w:lang w:val="en-GB"/>
              </w:rPr>
              <w:t>quality</w:t>
            </w:r>
          </w:p>
        </w:tc>
        <w:tc>
          <w:tcPr>
            <w:tcW w:w="1800" w:type="dxa"/>
            <w:shd w:val="clear" w:color="auto" w:fill="FFFFFF" w:themeFill="background1"/>
            <w:vAlign w:val="center"/>
          </w:tcPr>
          <w:p w14:paraId="1F7AEBFB" w14:textId="020003A0" w:rsidR="00076E3D" w:rsidRPr="00076E3D" w:rsidRDefault="00076E3D"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Planning policies and plans</w:t>
            </w:r>
            <w:r>
              <w:rPr>
                <w:rFonts w:ascii="Calibri" w:eastAsia="Times New Roman" w:hAnsi="Calibri" w:cs="Calibri"/>
                <w:color w:val="000000"/>
                <w:sz w:val="20"/>
                <w:szCs w:val="20"/>
                <w:lang w:val="en-GB"/>
              </w:rPr>
              <w:t>.</w:t>
            </w:r>
          </w:p>
          <w:p w14:paraId="3FFB5BD1" w14:textId="77777777" w:rsidR="00076E3D" w:rsidRPr="00076E3D" w:rsidRDefault="00076E3D" w:rsidP="001A5553">
            <w:pPr>
              <w:spacing w:after="0" w:line="240" w:lineRule="auto"/>
              <w:rPr>
                <w:rFonts w:ascii="Calibri" w:eastAsia="Times New Roman" w:hAnsi="Calibri" w:cs="Calibri"/>
                <w:color w:val="000000"/>
                <w:sz w:val="20"/>
                <w:szCs w:val="20"/>
                <w:lang w:val="en-GB"/>
              </w:rPr>
            </w:pPr>
          </w:p>
          <w:p w14:paraId="51809ADC" w14:textId="5F7E0E86" w:rsidR="00076E3D" w:rsidRPr="00076E3D" w:rsidRDefault="00076E3D" w:rsidP="00F46CC7">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Needs assessments or advocacy papers for protection, </w:t>
            </w:r>
            <w:r w:rsidRPr="00076E3D">
              <w:rPr>
                <w:rFonts w:ascii="Calibri" w:eastAsia="Times New Roman" w:hAnsi="Calibri" w:cs="Calibri"/>
                <w:color w:val="000000"/>
                <w:sz w:val="20"/>
                <w:szCs w:val="20"/>
                <w:lang w:val="en-GB"/>
              </w:rPr>
              <w:lastRenderedPageBreak/>
              <w:t>women and girls)</w:t>
            </w:r>
            <w:r>
              <w:rPr>
                <w:rFonts w:ascii="Calibri" w:eastAsia="Times New Roman" w:hAnsi="Calibri" w:cs="Calibri"/>
                <w:color w:val="000000"/>
                <w:sz w:val="20"/>
                <w:szCs w:val="20"/>
                <w:lang w:val="en-GB"/>
              </w:rPr>
              <w:t>.</w:t>
            </w:r>
            <w:bookmarkStart w:id="0" w:name="_GoBack"/>
            <w:bookmarkEnd w:id="0"/>
          </w:p>
        </w:tc>
        <w:tc>
          <w:tcPr>
            <w:tcW w:w="5760" w:type="dxa"/>
            <w:shd w:val="clear" w:color="auto" w:fill="FFFFFF" w:themeFill="background1"/>
            <w:vAlign w:val="center"/>
          </w:tcPr>
          <w:p w14:paraId="4DC1B872" w14:textId="5634C7D1" w:rsidR="00076E3D" w:rsidRPr="00076E3D" w:rsidRDefault="00076E3D" w:rsidP="00D10906">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lastRenderedPageBreak/>
              <w:t>National ministry or municipal authorities responsible for planning. There may be policy documents for specific regions or urban areas. Should be requested from the regional or local office of the relevant Ministry. International development stakeholders (UN-Habitat, UN Women) may have produced guidelines/action plans, needs assessments, or advocacy papers etc. of relevance.</w:t>
            </w:r>
          </w:p>
        </w:tc>
        <w:tc>
          <w:tcPr>
            <w:tcW w:w="2160" w:type="dxa"/>
            <w:shd w:val="clear" w:color="auto" w:fill="E7E6E6" w:themeFill="background2"/>
            <w:vAlign w:val="center"/>
          </w:tcPr>
          <w:p w14:paraId="1BCDD50B" w14:textId="77777777" w:rsidR="00076E3D" w:rsidRPr="00076E3D" w:rsidRDefault="00076E3D"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053E48E1" w14:textId="77777777" w:rsidR="00076E3D" w:rsidRPr="00076E3D" w:rsidRDefault="00076E3D" w:rsidP="0015628B">
            <w:pPr>
              <w:rPr>
                <w:rFonts w:ascii="Calibri" w:eastAsia="Times New Roman" w:hAnsi="Calibri" w:cs="Calibri"/>
                <w:color w:val="000000"/>
                <w:sz w:val="20"/>
                <w:szCs w:val="20"/>
                <w:lang w:val="en-GB"/>
              </w:rPr>
            </w:pPr>
          </w:p>
        </w:tc>
      </w:tr>
      <w:tr w:rsidR="00076E3D" w:rsidRPr="00E34DD7" w14:paraId="2E29AA1E" w14:textId="417E9E14" w:rsidTr="00961040">
        <w:trPr>
          <w:trHeight w:val="1160"/>
        </w:trPr>
        <w:tc>
          <w:tcPr>
            <w:tcW w:w="787" w:type="dxa"/>
            <w:vMerge/>
            <w:vAlign w:val="center"/>
          </w:tcPr>
          <w:p w14:paraId="742DFFBB" w14:textId="49BBAD7C" w:rsidR="00076E3D" w:rsidRPr="00076E3D" w:rsidRDefault="00076E3D" w:rsidP="0015628B">
            <w:pPr>
              <w:spacing w:after="0" w:line="240" w:lineRule="auto"/>
              <w:rPr>
                <w:rFonts w:ascii="Calibri" w:eastAsia="Times New Roman" w:hAnsi="Calibri" w:cs="Calibri"/>
                <w:color w:val="000000"/>
                <w:sz w:val="20"/>
                <w:szCs w:val="20"/>
                <w:highlight w:val="yellow"/>
                <w:lang w:val="en-GB"/>
              </w:rPr>
            </w:pPr>
          </w:p>
        </w:tc>
        <w:tc>
          <w:tcPr>
            <w:tcW w:w="1350" w:type="dxa"/>
            <w:vMerge/>
            <w:shd w:val="clear" w:color="auto" w:fill="FFFFFF" w:themeFill="background1"/>
            <w:vAlign w:val="center"/>
          </w:tcPr>
          <w:p w14:paraId="23B8B0A1" w14:textId="77777777" w:rsidR="00076E3D" w:rsidRPr="00076E3D" w:rsidRDefault="00076E3D" w:rsidP="0015628B">
            <w:pPr>
              <w:spacing w:after="0" w:line="240" w:lineRule="auto"/>
              <w:rPr>
                <w:rFonts w:ascii="Calibri" w:eastAsia="Times New Roman" w:hAnsi="Calibri" w:cs="Calibri"/>
                <w:color w:val="000000"/>
                <w:sz w:val="20"/>
                <w:szCs w:val="20"/>
                <w:lang w:val="en-GB"/>
              </w:rPr>
            </w:pPr>
          </w:p>
        </w:tc>
        <w:tc>
          <w:tcPr>
            <w:tcW w:w="1800" w:type="dxa"/>
            <w:shd w:val="clear" w:color="auto" w:fill="FFFFFF" w:themeFill="background1"/>
            <w:vAlign w:val="center"/>
          </w:tcPr>
          <w:p w14:paraId="7F5CE887" w14:textId="755BD818" w:rsidR="00076E3D" w:rsidRPr="00076E3D" w:rsidRDefault="00076E3D" w:rsidP="001A55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rPr>
              <w:t>Data from other actors on challenges and opportunities</w:t>
            </w:r>
            <w:r>
              <w:rPr>
                <w:rFonts w:ascii="Calibri" w:eastAsia="Times New Roman" w:hAnsi="Calibri" w:cs="Calibri"/>
                <w:color w:val="000000"/>
                <w:sz w:val="20"/>
                <w:szCs w:val="20"/>
              </w:rPr>
              <w:t>.</w:t>
            </w:r>
          </w:p>
        </w:tc>
        <w:tc>
          <w:tcPr>
            <w:tcW w:w="5760" w:type="dxa"/>
            <w:shd w:val="clear" w:color="auto" w:fill="FFFFFF" w:themeFill="background1"/>
            <w:vAlign w:val="center"/>
          </w:tcPr>
          <w:p w14:paraId="7DF696BC" w14:textId="27D7BFE7" w:rsidR="00076E3D" w:rsidRPr="00076E3D" w:rsidRDefault="00076E3D" w:rsidP="00D156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International and local stakeholders (UNICEF, USAID, local</w:t>
            </w:r>
            <w:r>
              <w:rPr>
                <w:rFonts w:ascii="Calibri" w:eastAsia="Times New Roman" w:hAnsi="Calibri" w:cs="Calibri"/>
                <w:color w:val="000000"/>
                <w:sz w:val="20"/>
                <w:szCs w:val="20"/>
                <w:lang w:val="en-GB"/>
              </w:rPr>
              <w:t xml:space="preserve"> </w:t>
            </w:r>
            <w:r w:rsidRPr="00076E3D">
              <w:rPr>
                <w:rFonts w:ascii="Calibri" w:eastAsia="Times New Roman" w:hAnsi="Calibri" w:cs="Calibri"/>
                <w:color w:val="000000"/>
                <w:sz w:val="20"/>
                <w:szCs w:val="20"/>
                <w:lang w:val="en-GB"/>
              </w:rPr>
              <w:t>NGOs, etc.), field surveys of specific neighbourhoods, focus group discussions with children and families.</w:t>
            </w:r>
          </w:p>
          <w:p w14:paraId="2A516D4B" w14:textId="7801A6D3" w:rsidR="00076E3D" w:rsidRPr="00076E3D" w:rsidRDefault="00076E3D" w:rsidP="00D15653">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rPr>
              <w:t>These should be available online. Use any contacts to ask for published or unpublished reports or data.</w:t>
            </w:r>
          </w:p>
        </w:tc>
        <w:tc>
          <w:tcPr>
            <w:tcW w:w="2160" w:type="dxa"/>
            <w:shd w:val="clear" w:color="auto" w:fill="E7E6E6" w:themeFill="background2"/>
            <w:vAlign w:val="center"/>
          </w:tcPr>
          <w:p w14:paraId="10DA9F9B" w14:textId="77777777" w:rsidR="00076E3D" w:rsidRPr="00076E3D" w:rsidRDefault="00076E3D" w:rsidP="0015628B">
            <w:pPr>
              <w:rPr>
                <w:rFonts w:ascii="Calibri" w:eastAsia="Times New Roman" w:hAnsi="Calibri" w:cs="Calibri"/>
                <w:color w:val="000000"/>
                <w:sz w:val="20"/>
                <w:szCs w:val="20"/>
                <w:lang w:val="en-GB"/>
              </w:rPr>
            </w:pPr>
          </w:p>
        </w:tc>
        <w:tc>
          <w:tcPr>
            <w:tcW w:w="2250" w:type="dxa"/>
            <w:shd w:val="clear" w:color="auto" w:fill="E7E6E6" w:themeFill="background2"/>
          </w:tcPr>
          <w:p w14:paraId="318343E7" w14:textId="77777777" w:rsidR="00076E3D" w:rsidRPr="00076E3D" w:rsidRDefault="00076E3D" w:rsidP="0015628B">
            <w:pPr>
              <w:rPr>
                <w:rFonts w:ascii="Calibri" w:eastAsia="Times New Roman" w:hAnsi="Calibri" w:cs="Calibri"/>
                <w:color w:val="000000"/>
                <w:sz w:val="20"/>
                <w:szCs w:val="20"/>
                <w:lang w:val="en-GB"/>
              </w:rPr>
            </w:pPr>
          </w:p>
        </w:tc>
      </w:tr>
      <w:tr w:rsidR="00076E3D" w:rsidRPr="00E34DD7" w14:paraId="212DC5DF" w14:textId="715F9C1A" w:rsidTr="00961040">
        <w:trPr>
          <w:trHeight w:val="485"/>
        </w:trPr>
        <w:tc>
          <w:tcPr>
            <w:tcW w:w="787" w:type="dxa"/>
            <w:vMerge/>
            <w:vAlign w:val="center"/>
          </w:tcPr>
          <w:p w14:paraId="2905BCF4" w14:textId="77777777" w:rsidR="00076E3D" w:rsidRPr="00076E3D" w:rsidRDefault="00076E3D" w:rsidP="0015628B">
            <w:pPr>
              <w:spacing w:after="0" w:line="240" w:lineRule="auto"/>
              <w:rPr>
                <w:rFonts w:ascii="Calibri" w:eastAsia="Times New Roman" w:hAnsi="Calibri" w:cs="Calibri"/>
                <w:color w:val="000000"/>
                <w:sz w:val="20"/>
                <w:szCs w:val="20"/>
                <w:highlight w:val="yellow"/>
                <w:lang w:val="en-GB"/>
              </w:rPr>
            </w:pPr>
          </w:p>
        </w:tc>
        <w:tc>
          <w:tcPr>
            <w:tcW w:w="1350" w:type="dxa"/>
            <w:shd w:val="clear" w:color="auto" w:fill="FFFFFF" w:themeFill="background1"/>
            <w:vAlign w:val="center"/>
          </w:tcPr>
          <w:p w14:paraId="5C2EB1C2" w14:textId="4BB98C7D" w:rsidR="00076E3D" w:rsidRPr="00076E3D" w:rsidRDefault="00076E3D" w:rsidP="00F46CC7">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Do No Harm</w:t>
            </w:r>
          </w:p>
        </w:tc>
        <w:tc>
          <w:tcPr>
            <w:tcW w:w="1800" w:type="dxa"/>
            <w:shd w:val="clear" w:color="auto" w:fill="FFFFFF" w:themeFill="background1"/>
            <w:vAlign w:val="center"/>
          </w:tcPr>
          <w:p w14:paraId="06664682" w14:textId="740CC1C4" w:rsidR="00076E3D" w:rsidRPr="00076E3D" w:rsidRDefault="00076E3D" w:rsidP="00F46CC7">
            <w:pPr>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As above.</w:t>
            </w:r>
          </w:p>
        </w:tc>
        <w:tc>
          <w:tcPr>
            <w:tcW w:w="5760" w:type="dxa"/>
            <w:shd w:val="clear" w:color="auto" w:fill="FFFFFF" w:themeFill="background1"/>
            <w:vAlign w:val="center"/>
          </w:tcPr>
          <w:p w14:paraId="1CAB9357" w14:textId="1AE9D178" w:rsidR="00076E3D" w:rsidRPr="00076E3D" w:rsidRDefault="00076E3D" w:rsidP="00F46CC7">
            <w:pPr>
              <w:spacing w:after="0" w:line="240" w:lineRule="auto"/>
              <w:rPr>
                <w:rFonts w:ascii="Calibri" w:eastAsia="Times New Roman" w:hAnsi="Calibri" w:cs="Calibri"/>
                <w:color w:val="000000"/>
                <w:sz w:val="20"/>
                <w:szCs w:val="20"/>
                <w:lang w:val="en-GB"/>
              </w:rPr>
            </w:pPr>
            <w:r w:rsidRPr="00076E3D">
              <w:rPr>
                <w:rFonts w:ascii="Calibri" w:eastAsia="Times New Roman" w:hAnsi="Calibri" w:cs="Calibri"/>
                <w:color w:val="000000"/>
                <w:sz w:val="20"/>
                <w:szCs w:val="20"/>
                <w:lang w:val="en-GB"/>
              </w:rPr>
              <w:t xml:space="preserve">As </w:t>
            </w:r>
            <w:r>
              <w:rPr>
                <w:rFonts w:ascii="Calibri" w:eastAsia="Times New Roman" w:hAnsi="Calibri" w:cs="Calibri"/>
                <w:color w:val="000000"/>
                <w:sz w:val="20"/>
                <w:szCs w:val="20"/>
                <w:lang w:val="en-GB"/>
              </w:rPr>
              <w:t>a</w:t>
            </w:r>
            <w:r w:rsidRPr="00076E3D">
              <w:rPr>
                <w:rFonts w:ascii="Calibri" w:eastAsia="Times New Roman" w:hAnsi="Calibri" w:cs="Calibri"/>
                <w:color w:val="000000"/>
                <w:sz w:val="20"/>
                <w:szCs w:val="20"/>
                <w:lang w:val="en-GB"/>
              </w:rPr>
              <w:t>bove.</w:t>
            </w:r>
          </w:p>
        </w:tc>
        <w:tc>
          <w:tcPr>
            <w:tcW w:w="2160" w:type="dxa"/>
            <w:shd w:val="clear" w:color="auto" w:fill="E7E6E6" w:themeFill="background2"/>
            <w:vAlign w:val="center"/>
          </w:tcPr>
          <w:p w14:paraId="7D40273A" w14:textId="77777777" w:rsidR="00076E3D" w:rsidRPr="00076E3D" w:rsidRDefault="00076E3D" w:rsidP="00F46CC7">
            <w:pPr>
              <w:rPr>
                <w:rFonts w:ascii="Calibri" w:eastAsia="Times New Roman" w:hAnsi="Calibri" w:cs="Calibri"/>
                <w:color w:val="000000"/>
                <w:sz w:val="20"/>
                <w:szCs w:val="20"/>
                <w:lang w:val="en-GB"/>
              </w:rPr>
            </w:pPr>
          </w:p>
        </w:tc>
        <w:tc>
          <w:tcPr>
            <w:tcW w:w="2250" w:type="dxa"/>
            <w:shd w:val="clear" w:color="auto" w:fill="E7E6E6" w:themeFill="background2"/>
            <w:vAlign w:val="center"/>
          </w:tcPr>
          <w:p w14:paraId="7BF4885A" w14:textId="77777777" w:rsidR="00076E3D" w:rsidRPr="00076E3D" w:rsidRDefault="00076E3D" w:rsidP="00F46CC7">
            <w:pPr>
              <w:rPr>
                <w:rFonts w:ascii="Calibri" w:eastAsia="Times New Roman" w:hAnsi="Calibri" w:cs="Calibri"/>
                <w:color w:val="000000"/>
                <w:sz w:val="20"/>
                <w:szCs w:val="20"/>
                <w:lang w:val="en-GB"/>
              </w:rPr>
            </w:pPr>
          </w:p>
        </w:tc>
      </w:tr>
    </w:tbl>
    <w:p w14:paraId="3DED532C" w14:textId="2A1B5EBC" w:rsidR="00B45019" w:rsidRPr="00076E3D" w:rsidRDefault="00B45019" w:rsidP="00F46CC7">
      <w:pPr>
        <w:jc w:val="both"/>
        <w:rPr>
          <w:rFonts w:ascii="Calibri" w:hAnsi="Calibri"/>
          <w:sz w:val="24"/>
          <w:szCs w:val="24"/>
          <w:lang w:val="en-GB"/>
        </w:rPr>
      </w:pPr>
    </w:p>
    <w:sectPr w:rsidR="00B45019" w:rsidRPr="00076E3D" w:rsidSect="00B45019">
      <w:pgSz w:w="16838" w:h="11906" w:orient="landscape" w:code="9"/>
      <w:pgMar w:top="1440" w:right="2102" w:bottom="1440" w:left="210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8028D" w14:textId="77777777" w:rsidR="00C51925" w:rsidRDefault="00C51925" w:rsidP="00FF4D3D">
      <w:pPr>
        <w:spacing w:after="0" w:line="240" w:lineRule="auto"/>
      </w:pPr>
      <w:r>
        <w:separator/>
      </w:r>
    </w:p>
  </w:endnote>
  <w:endnote w:type="continuationSeparator" w:id="0">
    <w:p w14:paraId="02D090CD" w14:textId="77777777" w:rsidR="00C51925" w:rsidRDefault="00C51925" w:rsidP="00FF4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67832" w14:textId="6E7F0C1B" w:rsidR="001B54C3" w:rsidRDefault="001B54C3" w:rsidP="00937496">
    <w:pPr>
      <w:pStyle w:val="Footer"/>
      <w:jc w:val="center"/>
    </w:pPr>
  </w:p>
  <w:p w14:paraId="795CC0E3" w14:textId="3FCD19BB" w:rsidR="007D3468" w:rsidRPr="00937496" w:rsidRDefault="001B54C3" w:rsidP="00937496">
    <w:pPr>
      <w:pStyle w:val="Footer"/>
      <w:tabs>
        <w:tab w:val="clear" w:pos="9360"/>
        <w:tab w:val="right" w:pos="13050"/>
      </w:tabs>
      <w:rPr>
        <w:rFonts w:ascii="Cambria" w:hAnsi="Cambria"/>
      </w:rPr>
    </w:pPr>
    <w:r w:rsidRPr="00076E3D">
      <w:rPr>
        <w:rFonts w:ascii="Calibri" w:hAnsi="Calibri"/>
      </w:rPr>
      <w:t xml:space="preserve">Tool 2: Desk </w:t>
    </w:r>
    <w:r w:rsidR="00FC1499">
      <w:rPr>
        <w:rFonts w:ascii="Calibri" w:hAnsi="Calibri"/>
      </w:rPr>
      <w:t>r</w:t>
    </w:r>
    <w:r w:rsidRPr="00076E3D">
      <w:rPr>
        <w:rFonts w:ascii="Calibri" w:hAnsi="Calibri"/>
      </w:rPr>
      <w:t xml:space="preserve">eview </w:t>
    </w:r>
    <w:r w:rsidR="00FC1499">
      <w:rPr>
        <w:rFonts w:ascii="Calibri" w:hAnsi="Calibri"/>
      </w:rPr>
      <w:t>s</w:t>
    </w:r>
    <w:r w:rsidRPr="00076E3D">
      <w:rPr>
        <w:rFonts w:ascii="Calibri" w:hAnsi="Calibri"/>
      </w:rPr>
      <w:t>ummary</w:t>
    </w:r>
    <w:r>
      <w:rPr>
        <w:rFonts w:ascii="Cambria" w:hAnsi="Cambria"/>
      </w:rPr>
      <w:tab/>
    </w:r>
    <w:r>
      <w:rPr>
        <w:rFonts w:ascii="Cambria" w:hAnsi="Cambria"/>
      </w:rPr>
      <w:tab/>
    </w:r>
    <w:r w:rsidRPr="00076E3D">
      <w:rPr>
        <w:rFonts w:ascii="Calibri" w:hAnsi="Calibri"/>
      </w:rPr>
      <w:fldChar w:fldCharType="begin"/>
    </w:r>
    <w:r w:rsidRPr="00076E3D">
      <w:rPr>
        <w:rFonts w:ascii="Calibri" w:hAnsi="Calibri"/>
      </w:rPr>
      <w:instrText xml:space="preserve"> PAGE   \* MERGEFORMAT </w:instrText>
    </w:r>
    <w:r w:rsidRPr="00076E3D">
      <w:rPr>
        <w:rFonts w:ascii="Calibri" w:hAnsi="Calibri"/>
      </w:rPr>
      <w:fldChar w:fldCharType="separate"/>
    </w:r>
    <w:r w:rsidR="00936909">
      <w:rPr>
        <w:rFonts w:ascii="Calibri" w:hAnsi="Calibri"/>
        <w:noProof/>
      </w:rPr>
      <w:t>6</w:t>
    </w:r>
    <w:r w:rsidRPr="00076E3D">
      <w:rPr>
        <w:rFonts w:ascii="Calibri" w:hAnsi="Calibr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D1E52" w14:textId="77777777" w:rsidR="00C51925" w:rsidRDefault="00C51925" w:rsidP="00FF4D3D">
      <w:pPr>
        <w:spacing w:after="0" w:line="240" w:lineRule="auto"/>
      </w:pPr>
      <w:r>
        <w:separator/>
      </w:r>
    </w:p>
  </w:footnote>
  <w:footnote w:type="continuationSeparator" w:id="0">
    <w:p w14:paraId="6B536F32" w14:textId="77777777" w:rsidR="00C51925" w:rsidRDefault="00C51925" w:rsidP="00FF4D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25FA1"/>
    <w:multiLevelType w:val="hybridMultilevel"/>
    <w:tmpl w:val="FB245E44"/>
    <w:lvl w:ilvl="0" w:tplc="5D98ED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05BF2"/>
    <w:multiLevelType w:val="hybridMultilevel"/>
    <w:tmpl w:val="3C0AA94C"/>
    <w:lvl w:ilvl="0" w:tplc="325A3220">
      <w:start w:val="1"/>
      <w:numFmt w:val="bullet"/>
      <w:lvlText w:val=""/>
      <w:lvlJc w:val="left"/>
      <w:pPr>
        <w:ind w:left="1440" w:hanging="360"/>
      </w:pPr>
      <w:rPr>
        <w:rFonts w:ascii="Symbol" w:hAnsi="Symbol" w:hint="default"/>
        <w:sz w:val="16"/>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D475147"/>
    <w:multiLevelType w:val="hybridMultilevel"/>
    <w:tmpl w:val="C0C03990"/>
    <w:lvl w:ilvl="0" w:tplc="C262A6E4">
      <w:start w:val="9"/>
      <w:numFmt w:val="lowerLetter"/>
      <w:lvlText w:val="%1."/>
      <w:lvlJc w:val="left"/>
      <w:pPr>
        <w:ind w:left="680" w:hanging="360"/>
      </w:pPr>
      <w:rPr>
        <w:rFonts w:hint="default"/>
      </w:rPr>
    </w:lvl>
    <w:lvl w:ilvl="1" w:tplc="AFAC0F0E">
      <w:start w:val="1"/>
      <w:numFmt w:val="decimal"/>
      <w:lvlText w:val="%2."/>
      <w:lvlJc w:val="left"/>
      <w:pPr>
        <w:ind w:left="1400" w:hanging="360"/>
      </w:pPr>
      <w:rPr>
        <w:rFonts w:hint="default"/>
      </w:r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3" w15:restartNumberingAfterBreak="0">
    <w:nsid w:val="27D96C4A"/>
    <w:multiLevelType w:val="hybridMultilevel"/>
    <w:tmpl w:val="651C3AEA"/>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A73F2"/>
    <w:multiLevelType w:val="hybridMultilevel"/>
    <w:tmpl w:val="C7441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742F8F"/>
    <w:multiLevelType w:val="hybridMultilevel"/>
    <w:tmpl w:val="88F484C4"/>
    <w:lvl w:ilvl="0" w:tplc="B5F2BD94">
      <w:start w:val="1"/>
      <w:numFmt w:val="upperRoman"/>
      <w:lvlText w:val="%1."/>
      <w:lvlJc w:val="left"/>
      <w:pPr>
        <w:ind w:left="1080" w:hanging="720"/>
      </w:pPr>
      <w:rPr>
        <w:rFonts w:hint="default"/>
      </w:rPr>
    </w:lvl>
    <w:lvl w:ilvl="1" w:tplc="84B0E7F4">
      <w:start w:val="1"/>
      <w:numFmt w:val="lowerLetter"/>
      <w:lvlText w:val="%2."/>
      <w:lvlJc w:val="left"/>
      <w:pPr>
        <w:ind w:left="1440" w:hanging="360"/>
      </w:pPr>
      <w:rPr>
        <w:rFonts w:hint="default"/>
      </w:rPr>
    </w:lvl>
    <w:lvl w:ilvl="2" w:tplc="B506428A">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780C26"/>
    <w:multiLevelType w:val="hybridMultilevel"/>
    <w:tmpl w:val="2E40C3DA"/>
    <w:lvl w:ilvl="0" w:tplc="160E8036">
      <w:start w:val="9"/>
      <w:numFmt w:val="lowerLetter"/>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7" w15:restartNumberingAfterBreak="0">
    <w:nsid w:val="453E3012"/>
    <w:multiLevelType w:val="hybridMultilevel"/>
    <w:tmpl w:val="DACA32FC"/>
    <w:lvl w:ilvl="0" w:tplc="F00242F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E2129C"/>
    <w:multiLevelType w:val="hybridMultilevel"/>
    <w:tmpl w:val="49989BDE"/>
    <w:lvl w:ilvl="0" w:tplc="083075A2">
      <w:start w:val="9"/>
      <w:numFmt w:val="lowerLetter"/>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9" w15:restartNumberingAfterBreak="0">
    <w:nsid w:val="4BD31F1B"/>
    <w:multiLevelType w:val="hybridMultilevel"/>
    <w:tmpl w:val="1564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AA6BE5"/>
    <w:multiLevelType w:val="hybridMultilevel"/>
    <w:tmpl w:val="F24257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1A3E65"/>
    <w:multiLevelType w:val="hybridMultilevel"/>
    <w:tmpl w:val="23C4794E"/>
    <w:lvl w:ilvl="0" w:tplc="04090013">
      <w:start w:val="1"/>
      <w:numFmt w:val="upperRoman"/>
      <w:lvlText w:val="%1."/>
      <w:lvlJc w:val="right"/>
      <w:pPr>
        <w:ind w:left="720" w:hanging="360"/>
      </w:pPr>
    </w:lvl>
    <w:lvl w:ilvl="1" w:tplc="F272B50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6C241B"/>
    <w:multiLevelType w:val="hybridMultilevel"/>
    <w:tmpl w:val="A7CA7A2A"/>
    <w:lvl w:ilvl="0" w:tplc="8DF09550">
      <w:start w:val="9"/>
      <w:numFmt w:val="lowerLetter"/>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num w:numId="1">
    <w:abstractNumId w:val="0"/>
  </w:num>
  <w:num w:numId="2">
    <w:abstractNumId w:val="11"/>
  </w:num>
  <w:num w:numId="3">
    <w:abstractNumId w:val="5"/>
  </w:num>
  <w:num w:numId="4">
    <w:abstractNumId w:val="2"/>
  </w:num>
  <w:num w:numId="5">
    <w:abstractNumId w:val="8"/>
  </w:num>
  <w:num w:numId="6">
    <w:abstractNumId w:val="12"/>
  </w:num>
  <w:num w:numId="7">
    <w:abstractNumId w:val="6"/>
  </w:num>
  <w:num w:numId="8">
    <w:abstractNumId w:val="3"/>
  </w:num>
  <w:num w:numId="9">
    <w:abstractNumId w:val="9"/>
  </w:num>
  <w:num w:numId="10">
    <w:abstractNumId w:val="7"/>
  </w:num>
  <w:num w:numId="11">
    <w:abstractNumId w:val="1"/>
  </w:num>
  <w:num w:numId="12">
    <w:abstractNumId w:val="10"/>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D3D"/>
    <w:rsid w:val="000044F9"/>
    <w:rsid w:val="00010CC6"/>
    <w:rsid w:val="000116C5"/>
    <w:rsid w:val="00013124"/>
    <w:rsid w:val="0001452B"/>
    <w:rsid w:val="00075304"/>
    <w:rsid w:val="00076E3D"/>
    <w:rsid w:val="00084077"/>
    <w:rsid w:val="0009113F"/>
    <w:rsid w:val="000A48DF"/>
    <w:rsid w:val="000A757B"/>
    <w:rsid w:val="000B7FEC"/>
    <w:rsid w:val="000C2C5A"/>
    <w:rsid w:val="000C3D96"/>
    <w:rsid w:val="000C5613"/>
    <w:rsid w:val="000C68B2"/>
    <w:rsid w:val="000D7A0F"/>
    <w:rsid w:val="000E0BB4"/>
    <w:rsid w:val="000E1C08"/>
    <w:rsid w:val="00107982"/>
    <w:rsid w:val="001125C0"/>
    <w:rsid w:val="001306AA"/>
    <w:rsid w:val="00144C30"/>
    <w:rsid w:val="00152ED5"/>
    <w:rsid w:val="001541A7"/>
    <w:rsid w:val="0015535A"/>
    <w:rsid w:val="0015628B"/>
    <w:rsid w:val="00157C4C"/>
    <w:rsid w:val="001616EF"/>
    <w:rsid w:val="00165EFE"/>
    <w:rsid w:val="00171B4B"/>
    <w:rsid w:val="0017577B"/>
    <w:rsid w:val="001770F7"/>
    <w:rsid w:val="0018087C"/>
    <w:rsid w:val="00194FBA"/>
    <w:rsid w:val="001A5553"/>
    <w:rsid w:val="001A5C62"/>
    <w:rsid w:val="001B285C"/>
    <w:rsid w:val="001B4B39"/>
    <w:rsid w:val="001B54C3"/>
    <w:rsid w:val="001C017C"/>
    <w:rsid w:val="001C5D1C"/>
    <w:rsid w:val="001E22D1"/>
    <w:rsid w:val="001E3815"/>
    <w:rsid w:val="001F7B37"/>
    <w:rsid w:val="00205AC5"/>
    <w:rsid w:val="002619C6"/>
    <w:rsid w:val="00262679"/>
    <w:rsid w:val="00273C5A"/>
    <w:rsid w:val="002A25AF"/>
    <w:rsid w:val="002A6964"/>
    <w:rsid w:val="002B2C8B"/>
    <w:rsid w:val="002E5C9F"/>
    <w:rsid w:val="002E6AB9"/>
    <w:rsid w:val="002F1679"/>
    <w:rsid w:val="002F5A2B"/>
    <w:rsid w:val="002F637C"/>
    <w:rsid w:val="002F7D24"/>
    <w:rsid w:val="00302B18"/>
    <w:rsid w:val="003128A2"/>
    <w:rsid w:val="00313614"/>
    <w:rsid w:val="0033616F"/>
    <w:rsid w:val="003406C9"/>
    <w:rsid w:val="00346327"/>
    <w:rsid w:val="003600B1"/>
    <w:rsid w:val="00360F1E"/>
    <w:rsid w:val="00374046"/>
    <w:rsid w:val="0037686C"/>
    <w:rsid w:val="00377AD4"/>
    <w:rsid w:val="00393F54"/>
    <w:rsid w:val="00396E55"/>
    <w:rsid w:val="003B11CF"/>
    <w:rsid w:val="003B6404"/>
    <w:rsid w:val="003B73C3"/>
    <w:rsid w:val="003C0E83"/>
    <w:rsid w:val="003C16F1"/>
    <w:rsid w:val="003C2493"/>
    <w:rsid w:val="003D0216"/>
    <w:rsid w:val="003E3FF6"/>
    <w:rsid w:val="003E6F9C"/>
    <w:rsid w:val="003F6536"/>
    <w:rsid w:val="00411A60"/>
    <w:rsid w:val="00412002"/>
    <w:rsid w:val="004166F4"/>
    <w:rsid w:val="00417F13"/>
    <w:rsid w:val="004458C3"/>
    <w:rsid w:val="0045270E"/>
    <w:rsid w:val="00456729"/>
    <w:rsid w:val="00457526"/>
    <w:rsid w:val="004606D7"/>
    <w:rsid w:val="004649E8"/>
    <w:rsid w:val="00464BAC"/>
    <w:rsid w:val="00464DAB"/>
    <w:rsid w:val="004712D5"/>
    <w:rsid w:val="00471A47"/>
    <w:rsid w:val="004815CD"/>
    <w:rsid w:val="00483CCE"/>
    <w:rsid w:val="00485E9E"/>
    <w:rsid w:val="004937D8"/>
    <w:rsid w:val="004A6983"/>
    <w:rsid w:val="004B2986"/>
    <w:rsid w:val="004B731D"/>
    <w:rsid w:val="004C1DC8"/>
    <w:rsid w:val="004C332F"/>
    <w:rsid w:val="004C4FD1"/>
    <w:rsid w:val="004C7A65"/>
    <w:rsid w:val="004C7E59"/>
    <w:rsid w:val="004D2A42"/>
    <w:rsid w:val="004D6AA0"/>
    <w:rsid w:val="004E5771"/>
    <w:rsid w:val="004F4220"/>
    <w:rsid w:val="004F70B9"/>
    <w:rsid w:val="005127ED"/>
    <w:rsid w:val="0051369F"/>
    <w:rsid w:val="00513EDD"/>
    <w:rsid w:val="0052127C"/>
    <w:rsid w:val="005234FC"/>
    <w:rsid w:val="00532704"/>
    <w:rsid w:val="005436B5"/>
    <w:rsid w:val="00547BB5"/>
    <w:rsid w:val="005608A6"/>
    <w:rsid w:val="00560F47"/>
    <w:rsid w:val="0056528C"/>
    <w:rsid w:val="00574556"/>
    <w:rsid w:val="00575F6E"/>
    <w:rsid w:val="00583258"/>
    <w:rsid w:val="005918BF"/>
    <w:rsid w:val="00595BC6"/>
    <w:rsid w:val="005961AC"/>
    <w:rsid w:val="0059725C"/>
    <w:rsid w:val="005A00FE"/>
    <w:rsid w:val="005A2EB5"/>
    <w:rsid w:val="005B2AFE"/>
    <w:rsid w:val="005D2162"/>
    <w:rsid w:val="005D48D8"/>
    <w:rsid w:val="005E122C"/>
    <w:rsid w:val="005E1F03"/>
    <w:rsid w:val="005E3159"/>
    <w:rsid w:val="005E52F9"/>
    <w:rsid w:val="005F1BCD"/>
    <w:rsid w:val="005F3E49"/>
    <w:rsid w:val="0062313D"/>
    <w:rsid w:val="00624E26"/>
    <w:rsid w:val="00631120"/>
    <w:rsid w:val="006333C8"/>
    <w:rsid w:val="00652BBE"/>
    <w:rsid w:val="006530A2"/>
    <w:rsid w:val="006733E8"/>
    <w:rsid w:val="00676934"/>
    <w:rsid w:val="00683811"/>
    <w:rsid w:val="0068773A"/>
    <w:rsid w:val="006910B6"/>
    <w:rsid w:val="00694109"/>
    <w:rsid w:val="00696F93"/>
    <w:rsid w:val="006A7B6D"/>
    <w:rsid w:val="006C02A8"/>
    <w:rsid w:val="006C1260"/>
    <w:rsid w:val="006C34F4"/>
    <w:rsid w:val="006C5595"/>
    <w:rsid w:val="006D3F93"/>
    <w:rsid w:val="006E300D"/>
    <w:rsid w:val="006E5D0B"/>
    <w:rsid w:val="006F439F"/>
    <w:rsid w:val="006F6FC1"/>
    <w:rsid w:val="0071432F"/>
    <w:rsid w:val="007143DA"/>
    <w:rsid w:val="00724EB6"/>
    <w:rsid w:val="00734537"/>
    <w:rsid w:val="00757A50"/>
    <w:rsid w:val="00762B4E"/>
    <w:rsid w:val="00767B71"/>
    <w:rsid w:val="00767C77"/>
    <w:rsid w:val="00772558"/>
    <w:rsid w:val="00773CF5"/>
    <w:rsid w:val="007823E2"/>
    <w:rsid w:val="00782F2B"/>
    <w:rsid w:val="007909A1"/>
    <w:rsid w:val="007938D4"/>
    <w:rsid w:val="007973E9"/>
    <w:rsid w:val="007B08AA"/>
    <w:rsid w:val="007B7289"/>
    <w:rsid w:val="007C737C"/>
    <w:rsid w:val="007C7F14"/>
    <w:rsid w:val="007D2C24"/>
    <w:rsid w:val="007D3468"/>
    <w:rsid w:val="007D5A53"/>
    <w:rsid w:val="007D661A"/>
    <w:rsid w:val="007E3FD3"/>
    <w:rsid w:val="007F5388"/>
    <w:rsid w:val="0080030E"/>
    <w:rsid w:val="00803F26"/>
    <w:rsid w:val="00804C60"/>
    <w:rsid w:val="00810B50"/>
    <w:rsid w:val="00817B53"/>
    <w:rsid w:val="00821663"/>
    <w:rsid w:val="0082272F"/>
    <w:rsid w:val="00825341"/>
    <w:rsid w:val="00826914"/>
    <w:rsid w:val="008346C3"/>
    <w:rsid w:val="00836B86"/>
    <w:rsid w:val="00845E3B"/>
    <w:rsid w:val="008662AD"/>
    <w:rsid w:val="0087011B"/>
    <w:rsid w:val="008722CF"/>
    <w:rsid w:val="00880521"/>
    <w:rsid w:val="008859CB"/>
    <w:rsid w:val="0089004D"/>
    <w:rsid w:val="00894304"/>
    <w:rsid w:val="008A0086"/>
    <w:rsid w:val="008A1E13"/>
    <w:rsid w:val="008A2E0F"/>
    <w:rsid w:val="008B09F4"/>
    <w:rsid w:val="008B7425"/>
    <w:rsid w:val="008C2CC4"/>
    <w:rsid w:val="008C3F71"/>
    <w:rsid w:val="008C643B"/>
    <w:rsid w:val="008D1656"/>
    <w:rsid w:val="008E0B33"/>
    <w:rsid w:val="00902890"/>
    <w:rsid w:val="00902D8E"/>
    <w:rsid w:val="00907E5F"/>
    <w:rsid w:val="00921A1E"/>
    <w:rsid w:val="00936909"/>
    <w:rsid w:val="00937496"/>
    <w:rsid w:val="00947255"/>
    <w:rsid w:val="00947CE7"/>
    <w:rsid w:val="0095313C"/>
    <w:rsid w:val="009601D0"/>
    <w:rsid w:val="00961040"/>
    <w:rsid w:val="009646AF"/>
    <w:rsid w:val="0096681C"/>
    <w:rsid w:val="00967E51"/>
    <w:rsid w:val="00971092"/>
    <w:rsid w:val="00981103"/>
    <w:rsid w:val="009842BF"/>
    <w:rsid w:val="00985CBB"/>
    <w:rsid w:val="009879C4"/>
    <w:rsid w:val="009A3CC8"/>
    <w:rsid w:val="009A473E"/>
    <w:rsid w:val="009A4E34"/>
    <w:rsid w:val="009A6CC2"/>
    <w:rsid w:val="009B1BE3"/>
    <w:rsid w:val="009B53AD"/>
    <w:rsid w:val="009B7AD9"/>
    <w:rsid w:val="009C7FBF"/>
    <w:rsid w:val="009D100E"/>
    <w:rsid w:val="009D2DCF"/>
    <w:rsid w:val="009D3B88"/>
    <w:rsid w:val="009D4D66"/>
    <w:rsid w:val="009E04A0"/>
    <w:rsid w:val="00A032ED"/>
    <w:rsid w:val="00A155D4"/>
    <w:rsid w:val="00A218AD"/>
    <w:rsid w:val="00A231EC"/>
    <w:rsid w:val="00A407DA"/>
    <w:rsid w:val="00A429BC"/>
    <w:rsid w:val="00A53738"/>
    <w:rsid w:val="00A53D5A"/>
    <w:rsid w:val="00A62B76"/>
    <w:rsid w:val="00A6387C"/>
    <w:rsid w:val="00A65BEE"/>
    <w:rsid w:val="00A7208A"/>
    <w:rsid w:val="00A72221"/>
    <w:rsid w:val="00A75A6D"/>
    <w:rsid w:val="00A80C24"/>
    <w:rsid w:val="00A81196"/>
    <w:rsid w:val="00A9031A"/>
    <w:rsid w:val="00A92159"/>
    <w:rsid w:val="00A951EF"/>
    <w:rsid w:val="00A967D2"/>
    <w:rsid w:val="00AA2C24"/>
    <w:rsid w:val="00AA3964"/>
    <w:rsid w:val="00AB07A3"/>
    <w:rsid w:val="00AC715F"/>
    <w:rsid w:val="00AE4697"/>
    <w:rsid w:val="00AF521C"/>
    <w:rsid w:val="00B01AB5"/>
    <w:rsid w:val="00B028BF"/>
    <w:rsid w:val="00B0517F"/>
    <w:rsid w:val="00B0683E"/>
    <w:rsid w:val="00B1661E"/>
    <w:rsid w:val="00B17C77"/>
    <w:rsid w:val="00B414B6"/>
    <w:rsid w:val="00B45019"/>
    <w:rsid w:val="00B53CB1"/>
    <w:rsid w:val="00B5409E"/>
    <w:rsid w:val="00B54D58"/>
    <w:rsid w:val="00B61ECA"/>
    <w:rsid w:val="00B71697"/>
    <w:rsid w:val="00B84008"/>
    <w:rsid w:val="00B847FA"/>
    <w:rsid w:val="00B86A29"/>
    <w:rsid w:val="00B91422"/>
    <w:rsid w:val="00B94ACA"/>
    <w:rsid w:val="00BA1931"/>
    <w:rsid w:val="00BA691E"/>
    <w:rsid w:val="00BB080B"/>
    <w:rsid w:val="00BB2EA0"/>
    <w:rsid w:val="00BB4D83"/>
    <w:rsid w:val="00BB5D9A"/>
    <w:rsid w:val="00BC2832"/>
    <w:rsid w:val="00BC581A"/>
    <w:rsid w:val="00BD6DB0"/>
    <w:rsid w:val="00C22F1D"/>
    <w:rsid w:val="00C40105"/>
    <w:rsid w:val="00C51865"/>
    <w:rsid w:val="00C51925"/>
    <w:rsid w:val="00C55A40"/>
    <w:rsid w:val="00C64D35"/>
    <w:rsid w:val="00C734A0"/>
    <w:rsid w:val="00C81A12"/>
    <w:rsid w:val="00C94404"/>
    <w:rsid w:val="00CA4AC6"/>
    <w:rsid w:val="00CA62E3"/>
    <w:rsid w:val="00CA665A"/>
    <w:rsid w:val="00CA7D02"/>
    <w:rsid w:val="00CC0996"/>
    <w:rsid w:val="00CC3273"/>
    <w:rsid w:val="00CC5FD7"/>
    <w:rsid w:val="00CC7954"/>
    <w:rsid w:val="00CD1E76"/>
    <w:rsid w:val="00CD50DE"/>
    <w:rsid w:val="00CD76E6"/>
    <w:rsid w:val="00CE0424"/>
    <w:rsid w:val="00CE3DCA"/>
    <w:rsid w:val="00CF4FF6"/>
    <w:rsid w:val="00CF7D57"/>
    <w:rsid w:val="00D05121"/>
    <w:rsid w:val="00D05C65"/>
    <w:rsid w:val="00D10906"/>
    <w:rsid w:val="00D14C99"/>
    <w:rsid w:val="00D15653"/>
    <w:rsid w:val="00D235EE"/>
    <w:rsid w:val="00D30AFB"/>
    <w:rsid w:val="00D330E1"/>
    <w:rsid w:val="00D46A2F"/>
    <w:rsid w:val="00D559A0"/>
    <w:rsid w:val="00D71499"/>
    <w:rsid w:val="00D721A5"/>
    <w:rsid w:val="00D845A5"/>
    <w:rsid w:val="00D846A8"/>
    <w:rsid w:val="00D93821"/>
    <w:rsid w:val="00DA0206"/>
    <w:rsid w:val="00DC23AE"/>
    <w:rsid w:val="00DC28A2"/>
    <w:rsid w:val="00DC4766"/>
    <w:rsid w:val="00DC6668"/>
    <w:rsid w:val="00DD3594"/>
    <w:rsid w:val="00DE6386"/>
    <w:rsid w:val="00DF10CF"/>
    <w:rsid w:val="00E03972"/>
    <w:rsid w:val="00E20227"/>
    <w:rsid w:val="00E2154A"/>
    <w:rsid w:val="00E21DCD"/>
    <w:rsid w:val="00E21E7A"/>
    <w:rsid w:val="00E25950"/>
    <w:rsid w:val="00E32E14"/>
    <w:rsid w:val="00E34B8A"/>
    <w:rsid w:val="00E34DD7"/>
    <w:rsid w:val="00E37502"/>
    <w:rsid w:val="00E41141"/>
    <w:rsid w:val="00E41336"/>
    <w:rsid w:val="00E4311C"/>
    <w:rsid w:val="00E6203E"/>
    <w:rsid w:val="00E65144"/>
    <w:rsid w:val="00E703A0"/>
    <w:rsid w:val="00E714E0"/>
    <w:rsid w:val="00E73009"/>
    <w:rsid w:val="00EA49F5"/>
    <w:rsid w:val="00EB2B23"/>
    <w:rsid w:val="00EC3CE0"/>
    <w:rsid w:val="00EE4D28"/>
    <w:rsid w:val="00EE569B"/>
    <w:rsid w:val="00EE6832"/>
    <w:rsid w:val="00EE7BB5"/>
    <w:rsid w:val="00EF211C"/>
    <w:rsid w:val="00EF3AEC"/>
    <w:rsid w:val="00F00908"/>
    <w:rsid w:val="00F1327A"/>
    <w:rsid w:val="00F16914"/>
    <w:rsid w:val="00F24D56"/>
    <w:rsid w:val="00F25A9F"/>
    <w:rsid w:val="00F27660"/>
    <w:rsid w:val="00F277A7"/>
    <w:rsid w:val="00F44972"/>
    <w:rsid w:val="00F46CC7"/>
    <w:rsid w:val="00F50938"/>
    <w:rsid w:val="00F53558"/>
    <w:rsid w:val="00F6184E"/>
    <w:rsid w:val="00F7005B"/>
    <w:rsid w:val="00F763F5"/>
    <w:rsid w:val="00F8220E"/>
    <w:rsid w:val="00F9092D"/>
    <w:rsid w:val="00FA52E2"/>
    <w:rsid w:val="00FA7686"/>
    <w:rsid w:val="00FA7FDD"/>
    <w:rsid w:val="00FC1499"/>
    <w:rsid w:val="00FC36D9"/>
    <w:rsid w:val="00FC3861"/>
    <w:rsid w:val="00FC70DD"/>
    <w:rsid w:val="00FD030D"/>
    <w:rsid w:val="00FD6957"/>
    <w:rsid w:val="00FE3ECA"/>
    <w:rsid w:val="00FE4308"/>
    <w:rsid w:val="00FF4D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27F1C1"/>
  <w15:docId w15:val="{C777BFD3-797A-4409-9C91-18E61EBD3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F637C"/>
    <w:pPr>
      <w:keepNext/>
      <w:keepLines/>
      <w:spacing w:before="480" w:after="0"/>
      <w:outlineLvl w:val="0"/>
    </w:pPr>
    <w:rPr>
      <w:rFonts w:asciiTheme="majorHAnsi" w:eastAsiaTheme="majorEastAsia" w:hAnsiTheme="majorHAnsi" w:cstheme="majorBidi"/>
      <w:b/>
      <w:bCs/>
      <w:color w:val="068C90" w:themeColor="accent1" w:themeShade="BF"/>
      <w:sz w:val="28"/>
      <w:szCs w:val="28"/>
    </w:rPr>
  </w:style>
  <w:style w:type="paragraph" w:styleId="Heading3">
    <w:name w:val="heading 3"/>
    <w:basedOn w:val="Normal"/>
    <w:link w:val="Heading3Char"/>
    <w:uiPriority w:val="9"/>
    <w:qFormat/>
    <w:rsid w:val="00A429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4D3D"/>
    <w:pPr>
      <w:ind w:left="720"/>
      <w:contextualSpacing/>
    </w:pPr>
  </w:style>
  <w:style w:type="paragraph" w:styleId="Header">
    <w:name w:val="header"/>
    <w:basedOn w:val="Normal"/>
    <w:link w:val="HeaderChar"/>
    <w:uiPriority w:val="99"/>
    <w:unhideWhenUsed/>
    <w:rsid w:val="00FF4D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D3D"/>
  </w:style>
  <w:style w:type="paragraph" w:styleId="Footer">
    <w:name w:val="footer"/>
    <w:basedOn w:val="Normal"/>
    <w:link w:val="FooterChar"/>
    <w:uiPriority w:val="99"/>
    <w:unhideWhenUsed/>
    <w:rsid w:val="00FF4D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4D3D"/>
  </w:style>
  <w:style w:type="character" w:styleId="CommentReference">
    <w:name w:val="annotation reference"/>
    <w:basedOn w:val="DefaultParagraphFont"/>
    <w:uiPriority w:val="99"/>
    <w:semiHidden/>
    <w:unhideWhenUsed/>
    <w:rsid w:val="0037686C"/>
    <w:rPr>
      <w:sz w:val="16"/>
      <w:szCs w:val="16"/>
    </w:rPr>
  </w:style>
  <w:style w:type="paragraph" w:styleId="CommentText">
    <w:name w:val="annotation text"/>
    <w:basedOn w:val="Normal"/>
    <w:link w:val="CommentTextChar"/>
    <w:uiPriority w:val="99"/>
    <w:semiHidden/>
    <w:unhideWhenUsed/>
    <w:rsid w:val="0037686C"/>
    <w:pPr>
      <w:spacing w:line="240" w:lineRule="auto"/>
    </w:pPr>
    <w:rPr>
      <w:sz w:val="20"/>
      <w:szCs w:val="20"/>
    </w:rPr>
  </w:style>
  <w:style w:type="character" w:customStyle="1" w:styleId="CommentTextChar">
    <w:name w:val="Comment Text Char"/>
    <w:basedOn w:val="DefaultParagraphFont"/>
    <w:link w:val="CommentText"/>
    <w:uiPriority w:val="99"/>
    <w:semiHidden/>
    <w:rsid w:val="0037686C"/>
    <w:rPr>
      <w:sz w:val="20"/>
      <w:szCs w:val="20"/>
    </w:rPr>
  </w:style>
  <w:style w:type="paragraph" w:styleId="CommentSubject">
    <w:name w:val="annotation subject"/>
    <w:basedOn w:val="CommentText"/>
    <w:next w:val="CommentText"/>
    <w:link w:val="CommentSubjectChar"/>
    <w:uiPriority w:val="99"/>
    <w:semiHidden/>
    <w:unhideWhenUsed/>
    <w:rsid w:val="0037686C"/>
    <w:rPr>
      <w:b/>
      <w:bCs/>
    </w:rPr>
  </w:style>
  <w:style w:type="character" w:customStyle="1" w:styleId="CommentSubjectChar">
    <w:name w:val="Comment Subject Char"/>
    <w:basedOn w:val="CommentTextChar"/>
    <w:link w:val="CommentSubject"/>
    <w:uiPriority w:val="99"/>
    <w:semiHidden/>
    <w:rsid w:val="0037686C"/>
    <w:rPr>
      <w:b/>
      <w:bCs/>
      <w:sz w:val="20"/>
      <w:szCs w:val="20"/>
    </w:rPr>
  </w:style>
  <w:style w:type="paragraph" w:styleId="BalloonText">
    <w:name w:val="Balloon Text"/>
    <w:basedOn w:val="Normal"/>
    <w:link w:val="BalloonTextChar"/>
    <w:uiPriority w:val="99"/>
    <w:semiHidden/>
    <w:unhideWhenUsed/>
    <w:rsid w:val="00376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686C"/>
    <w:rPr>
      <w:rFonts w:ascii="Tahoma" w:hAnsi="Tahoma" w:cs="Tahoma"/>
      <w:sz w:val="16"/>
      <w:szCs w:val="16"/>
    </w:rPr>
  </w:style>
  <w:style w:type="paragraph" w:styleId="FootnoteText">
    <w:name w:val="footnote text"/>
    <w:aliases w:val="Char3 Char"/>
    <w:basedOn w:val="Normal"/>
    <w:link w:val="FootnoteTextChar"/>
    <w:uiPriority w:val="99"/>
    <w:unhideWhenUsed/>
    <w:rsid w:val="00DA0206"/>
    <w:pPr>
      <w:spacing w:after="0" w:line="240" w:lineRule="auto"/>
    </w:pPr>
    <w:rPr>
      <w:sz w:val="20"/>
      <w:szCs w:val="20"/>
      <w:lang w:val="en-GB"/>
    </w:rPr>
  </w:style>
  <w:style w:type="character" w:customStyle="1" w:styleId="FootnoteTextChar">
    <w:name w:val="Footnote Text Char"/>
    <w:aliases w:val="Char3 Char Char"/>
    <w:basedOn w:val="DefaultParagraphFont"/>
    <w:link w:val="FootnoteText"/>
    <w:uiPriority w:val="99"/>
    <w:rsid w:val="00DA0206"/>
    <w:rPr>
      <w:sz w:val="20"/>
      <w:szCs w:val="20"/>
      <w:lang w:val="en-GB"/>
    </w:rPr>
  </w:style>
  <w:style w:type="character" w:styleId="FootnoteReference">
    <w:name w:val="footnote reference"/>
    <w:basedOn w:val="DefaultParagraphFont"/>
    <w:uiPriority w:val="99"/>
    <w:unhideWhenUsed/>
    <w:rsid w:val="00DA0206"/>
    <w:rPr>
      <w:vertAlign w:val="superscript"/>
    </w:rPr>
  </w:style>
  <w:style w:type="character" w:styleId="Hyperlink">
    <w:name w:val="Hyperlink"/>
    <w:basedOn w:val="DefaultParagraphFont"/>
    <w:uiPriority w:val="99"/>
    <w:unhideWhenUsed/>
    <w:rsid w:val="00D71499"/>
    <w:rPr>
      <w:color w:val="0563C1" w:themeColor="hyperlink"/>
      <w:u w:val="single"/>
    </w:rPr>
  </w:style>
  <w:style w:type="character" w:customStyle="1" w:styleId="Heading3Char">
    <w:name w:val="Heading 3 Char"/>
    <w:basedOn w:val="DefaultParagraphFont"/>
    <w:link w:val="Heading3"/>
    <w:uiPriority w:val="9"/>
    <w:rsid w:val="00A429BC"/>
    <w:rPr>
      <w:rFonts w:ascii="Times New Roman" w:eastAsia="Times New Roman" w:hAnsi="Times New Roman" w:cs="Times New Roman"/>
      <w:b/>
      <w:bCs/>
      <w:sz w:val="27"/>
      <w:szCs w:val="27"/>
    </w:rPr>
  </w:style>
  <w:style w:type="character" w:customStyle="1" w:styleId="Heading1Char">
    <w:name w:val="Heading 1 Char"/>
    <w:basedOn w:val="DefaultParagraphFont"/>
    <w:link w:val="Heading1"/>
    <w:uiPriority w:val="9"/>
    <w:rsid w:val="002F637C"/>
    <w:rPr>
      <w:rFonts w:asciiTheme="majorHAnsi" w:eastAsiaTheme="majorEastAsia" w:hAnsiTheme="majorHAnsi" w:cstheme="majorBidi"/>
      <w:b/>
      <w:bCs/>
      <w:color w:val="068C90"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194652">
      <w:bodyDiv w:val="1"/>
      <w:marLeft w:val="0"/>
      <w:marRight w:val="0"/>
      <w:marTop w:val="0"/>
      <w:marBottom w:val="0"/>
      <w:divBdr>
        <w:top w:val="none" w:sz="0" w:space="0" w:color="auto"/>
        <w:left w:val="none" w:sz="0" w:space="0" w:color="auto"/>
        <w:bottom w:val="none" w:sz="0" w:space="0" w:color="auto"/>
        <w:right w:val="none" w:sz="0" w:space="0" w:color="auto"/>
      </w:divBdr>
    </w:div>
    <w:div w:id="1283146414">
      <w:bodyDiv w:val="1"/>
      <w:marLeft w:val="0"/>
      <w:marRight w:val="0"/>
      <w:marTop w:val="0"/>
      <w:marBottom w:val="0"/>
      <w:divBdr>
        <w:top w:val="none" w:sz="0" w:space="0" w:color="auto"/>
        <w:left w:val="none" w:sz="0" w:space="0" w:color="auto"/>
        <w:bottom w:val="none" w:sz="0" w:space="0" w:color="auto"/>
        <w:right w:val="none" w:sz="0" w:space="0" w:color="auto"/>
      </w:divBdr>
    </w:div>
    <w:div w:id="1433209963">
      <w:bodyDiv w:val="1"/>
      <w:marLeft w:val="0"/>
      <w:marRight w:val="0"/>
      <w:marTop w:val="0"/>
      <w:marBottom w:val="0"/>
      <w:divBdr>
        <w:top w:val="none" w:sz="0" w:space="0" w:color="auto"/>
        <w:left w:val="none" w:sz="0" w:space="0" w:color="auto"/>
        <w:bottom w:val="none" w:sz="0" w:space="0" w:color="auto"/>
        <w:right w:val="none" w:sz="0" w:space="0" w:color="auto"/>
      </w:divBdr>
    </w:div>
    <w:div w:id="1602376245">
      <w:bodyDiv w:val="1"/>
      <w:marLeft w:val="0"/>
      <w:marRight w:val="0"/>
      <w:marTop w:val="0"/>
      <w:marBottom w:val="0"/>
      <w:divBdr>
        <w:top w:val="none" w:sz="0" w:space="0" w:color="auto"/>
        <w:left w:val="none" w:sz="0" w:space="0" w:color="auto"/>
        <w:bottom w:val="none" w:sz="0" w:space="0" w:color="auto"/>
        <w:right w:val="none" w:sz="0" w:space="0" w:color="auto"/>
      </w:divBdr>
    </w:div>
    <w:div w:id="1615867873">
      <w:bodyDiv w:val="1"/>
      <w:marLeft w:val="0"/>
      <w:marRight w:val="0"/>
      <w:marTop w:val="0"/>
      <w:marBottom w:val="0"/>
      <w:divBdr>
        <w:top w:val="none" w:sz="0" w:space="0" w:color="auto"/>
        <w:left w:val="none" w:sz="0" w:space="0" w:color="auto"/>
        <w:bottom w:val="none" w:sz="0" w:space="0" w:color="auto"/>
        <w:right w:val="none" w:sz="0" w:space="0" w:color="auto"/>
      </w:divBdr>
    </w:div>
    <w:div w:id="1731685854">
      <w:bodyDiv w:val="1"/>
      <w:marLeft w:val="0"/>
      <w:marRight w:val="0"/>
      <w:marTop w:val="0"/>
      <w:marBottom w:val="0"/>
      <w:divBdr>
        <w:top w:val="none" w:sz="0" w:space="0" w:color="auto"/>
        <w:left w:val="none" w:sz="0" w:space="0" w:color="auto"/>
        <w:bottom w:val="none" w:sz="0" w:space="0" w:color="auto"/>
        <w:right w:val="none" w:sz="0" w:space="0" w:color="auto"/>
      </w:divBdr>
    </w:div>
    <w:div w:id="208040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ata.humdata.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enstreetmap.org" TargetMode="External"/><Relationship Id="rId5" Type="http://schemas.openxmlformats.org/officeDocument/2006/relationships/webSettings" Target="webSettings.xml"/><Relationship Id="rId10" Type="http://schemas.openxmlformats.org/officeDocument/2006/relationships/hyperlink" Target="https://data.humdata.org/" TargetMode="External"/><Relationship Id="rId4" Type="http://schemas.openxmlformats.org/officeDocument/2006/relationships/settings" Target="settings.xml"/><Relationship Id="rId9" Type="http://schemas.openxmlformats.org/officeDocument/2006/relationships/hyperlink" Target="https://www.openstreetmap.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IRC">
      <a:dk1>
        <a:sysClr val="windowText" lastClr="000000"/>
      </a:dk1>
      <a:lt1>
        <a:sysClr val="window" lastClr="FFFFFF"/>
      </a:lt1>
      <a:dk2>
        <a:srgbClr val="44546A"/>
      </a:dk2>
      <a:lt2>
        <a:srgbClr val="E7E6E6"/>
      </a:lt2>
      <a:accent1>
        <a:srgbClr val="08BCC1"/>
      </a:accent1>
      <a:accent2>
        <a:srgbClr val="CEF2F3"/>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B2BA4-CCB2-44B9-B4FB-CF1D7DADB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6</Pages>
  <Words>1598</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Reyes Jove</dc:creator>
  <cp:lastModifiedBy>Wale Osofisan</cp:lastModifiedBy>
  <cp:revision>14</cp:revision>
  <dcterms:created xsi:type="dcterms:W3CDTF">2017-06-07T14:48:00Z</dcterms:created>
  <dcterms:modified xsi:type="dcterms:W3CDTF">2017-06-23T10:24:00Z</dcterms:modified>
</cp:coreProperties>
</file>